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EC4EA" w14:textId="77777777" w:rsidR="0008722E" w:rsidRPr="00930545" w:rsidRDefault="0008722E" w:rsidP="0008722E">
      <w:pPr>
        <w:shd w:val="clear" w:color="auto" w:fill="FFFFFF"/>
        <w:rPr>
          <w:rFonts w:ascii="Bookman Old Style" w:eastAsia="Times New Roman" w:hAnsi="Bookman Old Style" w:cs="Arial"/>
          <w:color w:val="000000"/>
          <w:sz w:val="26"/>
          <w:szCs w:val="26"/>
          <w:lang w:val="el-GR"/>
        </w:rPr>
      </w:pPr>
      <w:r w:rsidRPr="00930545">
        <w:rPr>
          <w:rFonts w:ascii="Bookman Old Style" w:eastAsia="Times New Roman" w:hAnsi="Bookman Old Style" w:cs="Arial"/>
          <w:color w:val="000000"/>
          <w:sz w:val="26"/>
          <w:szCs w:val="26"/>
          <w:lang w:val="el-GR"/>
        </w:rPr>
        <w:t xml:space="preserve">ΑΝΩΤΑΤΟ ΔΙΚΑΣΤΗΡΙΟ </w:t>
      </w:r>
      <w:r w:rsidRPr="00930545">
        <w:rPr>
          <w:rFonts w:ascii="Bookman Old Style" w:eastAsia="Times New Roman" w:hAnsi="Bookman Old Style" w:cs="Arial"/>
          <w:color w:val="000000"/>
          <w:sz w:val="26"/>
          <w:szCs w:val="26"/>
        </w:rPr>
        <w:t>K</w:t>
      </w:r>
      <w:r w:rsidRPr="00930545">
        <w:rPr>
          <w:rFonts w:ascii="Bookman Old Style" w:eastAsia="Times New Roman" w:hAnsi="Bookman Old Style" w:cs="Arial"/>
          <w:color w:val="000000"/>
          <w:sz w:val="26"/>
          <w:szCs w:val="26"/>
          <w:lang w:val="el-GR"/>
        </w:rPr>
        <w:t>ΥΠΡΟΥ</w:t>
      </w:r>
    </w:p>
    <w:p w14:paraId="3BB51987" w14:textId="77777777" w:rsidR="0008722E" w:rsidRPr="00930545" w:rsidRDefault="0008722E" w:rsidP="0008722E">
      <w:pPr>
        <w:shd w:val="clear" w:color="auto" w:fill="FFFFFF"/>
        <w:rPr>
          <w:rFonts w:ascii="Bookman Old Style" w:eastAsia="Times New Roman" w:hAnsi="Bookman Old Style" w:cs="Arial"/>
          <w:color w:val="000000"/>
          <w:sz w:val="26"/>
          <w:szCs w:val="26"/>
          <w:lang w:val="el-GR"/>
        </w:rPr>
      </w:pPr>
      <w:r w:rsidRPr="00930545">
        <w:rPr>
          <w:rFonts w:ascii="Bookman Old Style" w:eastAsia="Times New Roman" w:hAnsi="Bookman Old Style" w:cs="Arial"/>
          <w:color w:val="000000"/>
          <w:sz w:val="26"/>
          <w:szCs w:val="26"/>
          <w:lang w:val="el-GR"/>
        </w:rPr>
        <w:t xml:space="preserve">ΠΡΩΤΟΒΑΘΜΙΑ ΔΙΚΑΙΟΔΟΣΙΑ </w:t>
      </w:r>
    </w:p>
    <w:p w14:paraId="2DA125B0" w14:textId="77777777" w:rsidR="0008722E" w:rsidRPr="00930545" w:rsidRDefault="0008722E" w:rsidP="0008722E">
      <w:pPr>
        <w:shd w:val="clear" w:color="auto" w:fill="FFFFFF"/>
        <w:jc w:val="right"/>
        <w:rPr>
          <w:rFonts w:ascii="Bookman Old Style" w:eastAsia="Times New Roman" w:hAnsi="Bookman Old Style" w:cs="Arial"/>
          <w:i/>
          <w:iCs/>
          <w:color w:val="000000"/>
          <w:sz w:val="26"/>
          <w:szCs w:val="26"/>
          <w:lang w:val="el-GR"/>
        </w:rPr>
      </w:pPr>
      <w:r w:rsidRPr="00930545">
        <w:rPr>
          <w:rFonts w:ascii="Bookman Old Style" w:eastAsia="Times New Roman" w:hAnsi="Bookman Old Style" w:cs="Arial"/>
          <w:i/>
          <w:iCs/>
          <w:color w:val="000000"/>
          <w:sz w:val="26"/>
          <w:szCs w:val="26"/>
          <w:lang w:val="el-GR"/>
        </w:rPr>
        <w:t xml:space="preserve">(Πολιτική Αίτηση </w:t>
      </w:r>
      <w:proofErr w:type="spellStart"/>
      <w:r w:rsidRPr="00930545">
        <w:rPr>
          <w:rFonts w:ascii="Bookman Old Style" w:eastAsia="Times New Roman" w:hAnsi="Bookman Old Style" w:cs="Arial"/>
          <w:i/>
          <w:iCs/>
          <w:color w:val="000000"/>
          <w:sz w:val="26"/>
          <w:szCs w:val="26"/>
          <w:lang w:val="el-GR"/>
        </w:rPr>
        <w:t>Αρ</w:t>
      </w:r>
      <w:proofErr w:type="spellEnd"/>
      <w:r w:rsidRPr="00930545">
        <w:rPr>
          <w:rFonts w:ascii="Bookman Old Style" w:eastAsia="Times New Roman" w:hAnsi="Bookman Old Style" w:cs="Arial"/>
          <w:i/>
          <w:iCs/>
          <w:color w:val="000000"/>
          <w:sz w:val="26"/>
          <w:szCs w:val="26"/>
          <w:lang w:val="el-GR"/>
        </w:rPr>
        <w:t>. 173/2023)</w:t>
      </w:r>
    </w:p>
    <w:p w14:paraId="1A2F9C05" w14:textId="77777777" w:rsidR="0008722E" w:rsidRPr="00930545" w:rsidRDefault="0008722E" w:rsidP="0008722E">
      <w:pPr>
        <w:shd w:val="clear" w:color="auto" w:fill="FFFFFF"/>
        <w:jc w:val="right"/>
        <w:rPr>
          <w:rFonts w:ascii="Bookman Old Style" w:eastAsia="Times New Roman" w:hAnsi="Bookman Old Style" w:cs="Arial"/>
          <w:i/>
          <w:iCs/>
          <w:color w:val="000000"/>
          <w:sz w:val="26"/>
          <w:szCs w:val="26"/>
          <w:lang w:val="el-GR"/>
        </w:rPr>
      </w:pPr>
    </w:p>
    <w:p w14:paraId="3359B04D" w14:textId="77777777" w:rsidR="004F72B4" w:rsidRPr="004F72B4" w:rsidRDefault="004F72B4" w:rsidP="0008722E">
      <w:pPr>
        <w:jc w:val="center"/>
        <w:rPr>
          <w:rFonts w:ascii="Bookman Old Style" w:hAnsi="Bookman Old Style"/>
          <w:sz w:val="28"/>
          <w:szCs w:val="28"/>
          <w:lang w:val="el-GR"/>
        </w:rPr>
      </w:pPr>
    </w:p>
    <w:p w14:paraId="39512A46" w14:textId="139E7383" w:rsidR="0008722E" w:rsidRDefault="004C63D6" w:rsidP="0008722E">
      <w:pPr>
        <w:jc w:val="center"/>
        <w:rPr>
          <w:rFonts w:ascii="Bookman Old Style" w:hAnsi="Bookman Old Style"/>
          <w:sz w:val="28"/>
          <w:szCs w:val="28"/>
          <w:lang w:val="el-GR"/>
        </w:rPr>
      </w:pPr>
      <w:r>
        <w:rPr>
          <w:rFonts w:ascii="Bookman Old Style" w:hAnsi="Bookman Old Style"/>
          <w:sz w:val="28"/>
          <w:szCs w:val="28"/>
          <w:lang w:val="el-GR"/>
        </w:rPr>
        <w:t xml:space="preserve"> 8 </w:t>
      </w:r>
      <w:r w:rsidR="00402904">
        <w:rPr>
          <w:rFonts w:ascii="Bookman Old Style" w:hAnsi="Bookman Old Style"/>
          <w:sz w:val="28"/>
          <w:szCs w:val="28"/>
          <w:lang w:val="el-GR"/>
        </w:rPr>
        <w:t>Απριλίου</w:t>
      </w:r>
      <w:r w:rsidR="0008722E" w:rsidRPr="00DC6EF7">
        <w:rPr>
          <w:rFonts w:ascii="Bookman Old Style" w:hAnsi="Bookman Old Style"/>
          <w:sz w:val="28"/>
          <w:szCs w:val="28"/>
          <w:lang w:val="el-GR"/>
        </w:rPr>
        <w:t>, 202</w:t>
      </w:r>
      <w:r w:rsidR="00402904">
        <w:rPr>
          <w:rFonts w:ascii="Bookman Old Style" w:hAnsi="Bookman Old Style"/>
          <w:sz w:val="28"/>
          <w:szCs w:val="28"/>
          <w:lang w:val="el-GR"/>
        </w:rPr>
        <w:t>4</w:t>
      </w:r>
    </w:p>
    <w:p w14:paraId="79CF7FA4" w14:textId="77777777" w:rsidR="0008722E" w:rsidRPr="00DC6EF7" w:rsidRDefault="0008722E" w:rsidP="0008722E">
      <w:pPr>
        <w:jc w:val="center"/>
        <w:rPr>
          <w:rFonts w:ascii="Bookman Old Style" w:hAnsi="Bookman Old Style"/>
          <w:sz w:val="28"/>
          <w:szCs w:val="28"/>
          <w:lang w:val="el-GR"/>
        </w:rPr>
      </w:pPr>
    </w:p>
    <w:p w14:paraId="2860A9F8" w14:textId="77777777" w:rsidR="0008722E" w:rsidRPr="00DC6EF7" w:rsidRDefault="0008722E" w:rsidP="0008722E">
      <w:pPr>
        <w:jc w:val="center"/>
        <w:rPr>
          <w:rFonts w:ascii="Bookman Old Style" w:hAnsi="Bookman Old Style"/>
          <w:sz w:val="28"/>
          <w:szCs w:val="28"/>
          <w:lang w:val="el-GR"/>
        </w:rPr>
      </w:pPr>
    </w:p>
    <w:p w14:paraId="1F655E72" w14:textId="77777777" w:rsidR="0008722E" w:rsidRPr="00DC6EF7" w:rsidRDefault="0008722E" w:rsidP="0008722E">
      <w:pPr>
        <w:jc w:val="center"/>
        <w:rPr>
          <w:rFonts w:ascii="Bookman Old Style" w:hAnsi="Bookman Old Style"/>
          <w:sz w:val="28"/>
          <w:szCs w:val="28"/>
          <w:lang w:val="el-GR"/>
        </w:rPr>
      </w:pPr>
      <w:r w:rsidRPr="00DC6EF7">
        <w:rPr>
          <w:rFonts w:ascii="Bookman Old Style" w:hAnsi="Bookman Old Style"/>
          <w:sz w:val="28"/>
          <w:szCs w:val="28"/>
          <w:lang w:val="el-GR"/>
        </w:rPr>
        <w:t>[ΔΑΥΙΔ, Δ/</w:t>
      </w:r>
      <w:proofErr w:type="spellStart"/>
      <w:r w:rsidRPr="00DC6EF7">
        <w:rPr>
          <w:rFonts w:ascii="Bookman Old Style" w:hAnsi="Bookman Old Style"/>
          <w:sz w:val="28"/>
          <w:szCs w:val="28"/>
          <w:lang w:val="el-GR"/>
        </w:rPr>
        <w:t>στής</w:t>
      </w:r>
      <w:proofErr w:type="spellEnd"/>
      <w:r w:rsidRPr="00DC6EF7">
        <w:rPr>
          <w:rFonts w:ascii="Bookman Old Style" w:hAnsi="Bookman Old Style"/>
          <w:sz w:val="28"/>
          <w:szCs w:val="28"/>
          <w:lang w:val="el-GR"/>
        </w:rPr>
        <w:t>]</w:t>
      </w:r>
    </w:p>
    <w:p w14:paraId="0EE4FC9B" w14:textId="77777777" w:rsidR="0008722E" w:rsidRPr="00DC6EF7" w:rsidRDefault="0008722E" w:rsidP="0008722E">
      <w:pPr>
        <w:jc w:val="center"/>
        <w:rPr>
          <w:rFonts w:ascii="Bookman Old Style" w:hAnsi="Bookman Old Style"/>
          <w:sz w:val="28"/>
          <w:szCs w:val="28"/>
          <w:lang w:val="el-GR"/>
        </w:rPr>
      </w:pPr>
    </w:p>
    <w:p w14:paraId="22D2518B" w14:textId="77777777" w:rsidR="0008722E" w:rsidRPr="00930545" w:rsidRDefault="0008722E" w:rsidP="0008722E">
      <w:pPr>
        <w:spacing w:before="247" w:after="240" w:line="276" w:lineRule="auto"/>
        <w:ind w:right="-23"/>
        <w:jc w:val="both"/>
        <w:textAlignment w:val="baseline"/>
        <w:rPr>
          <w:rFonts w:ascii="Bookman Old Style" w:eastAsia="Arial" w:hAnsi="Bookman Old Style"/>
          <w:color w:val="000000"/>
          <w:sz w:val="26"/>
          <w:szCs w:val="26"/>
          <w:lang w:val="el-GR"/>
        </w:rPr>
      </w:pPr>
      <w:r w:rsidRPr="00930545">
        <w:rPr>
          <w:rFonts w:ascii="Bookman Old Style" w:eastAsia="Arial" w:hAnsi="Bookman Old Style"/>
          <w:color w:val="000000"/>
          <w:sz w:val="26"/>
          <w:szCs w:val="26"/>
          <w:lang w:val="el-GR"/>
        </w:rPr>
        <w:t>ΑΝΑΦΟΡΙΚΑ ΜΕ ΤΟ ΑΡΘΡΟ 155.4 ΤΟΥ ΣΥΝΤΑΓΜΑΤΟΣ ΚΑΙ ΤΑ ΑΡΘΡΑ 3 ΚΑΙ 9 ΤΟΥ ΠΕΡΙ ΑΠΟΝΟΜΗΣ ΤΗΣ ΔΙΚΑΙΟΣΥΝΗΣ (ΠΟΙΚΙΛΑΙ ΔΙΑΤΑΞΕΙΣ) ΝΟΜΟΥ ΤΟΥ 1964</w:t>
      </w:r>
    </w:p>
    <w:p w14:paraId="798F1078" w14:textId="77777777" w:rsidR="0008722E" w:rsidRPr="00930545" w:rsidRDefault="0008722E" w:rsidP="0008722E">
      <w:pPr>
        <w:spacing w:before="238" w:line="257" w:lineRule="exact"/>
        <w:ind w:right="-23"/>
        <w:jc w:val="center"/>
        <w:textAlignment w:val="baseline"/>
        <w:rPr>
          <w:rFonts w:ascii="Bookman Old Style" w:eastAsia="Arial" w:hAnsi="Bookman Old Style"/>
          <w:color w:val="000000"/>
          <w:sz w:val="26"/>
          <w:szCs w:val="26"/>
          <w:lang w:val="el-GR"/>
        </w:rPr>
      </w:pPr>
      <w:r w:rsidRPr="00930545">
        <w:rPr>
          <w:rFonts w:ascii="Bookman Old Style" w:eastAsia="Arial" w:hAnsi="Bookman Old Style"/>
          <w:color w:val="000000"/>
          <w:sz w:val="26"/>
          <w:szCs w:val="26"/>
          <w:lang w:val="el-GR"/>
        </w:rPr>
        <w:t>ΚΑΙ</w:t>
      </w:r>
    </w:p>
    <w:p w14:paraId="0077B6AC" w14:textId="77777777" w:rsidR="0008722E" w:rsidRPr="00930545" w:rsidRDefault="0008722E" w:rsidP="0008722E">
      <w:pPr>
        <w:spacing w:before="251" w:line="276" w:lineRule="auto"/>
        <w:ind w:right="-23"/>
        <w:jc w:val="both"/>
        <w:textAlignment w:val="baseline"/>
        <w:rPr>
          <w:rFonts w:ascii="Bookman Old Style" w:eastAsia="Arial" w:hAnsi="Bookman Old Style"/>
          <w:color w:val="000000"/>
          <w:sz w:val="26"/>
          <w:szCs w:val="26"/>
          <w:lang w:val="el-GR"/>
        </w:rPr>
      </w:pPr>
      <w:r w:rsidRPr="00930545">
        <w:rPr>
          <w:rFonts w:ascii="Bookman Old Style" w:eastAsia="Arial" w:hAnsi="Bookman Old Style"/>
          <w:color w:val="000000"/>
          <w:sz w:val="26"/>
          <w:szCs w:val="26"/>
          <w:lang w:val="el-GR"/>
        </w:rPr>
        <w:t xml:space="preserve">ΑΝΑΦΟΡΙΚΑ ΜΕ ΤΟΝ ΠΕΡΙ ΑΝΩΤΑΤΟΥ ΔΙΚΑΣΤΗΡΙΟΥ (ΔΙΚΑΙΟΔΟΣΙΑ ΕΚΔΟΣΗΣ ΕΝΤΑΛΜΑΤΩΝ ΠΡΟΝΟΜΙΑΚΗΣ ΦΥΣΕΩΣ) ΔΙΑΔΙΚΑΣΤΙΚΟ ΚΑΝΟΝΙΣΜΟ ΤΟΥ </w:t>
      </w:r>
      <w:r w:rsidRPr="00930545">
        <w:rPr>
          <w:rFonts w:ascii="Bookman Old Style" w:eastAsia="Courier New" w:hAnsi="Bookman Old Style"/>
          <w:color w:val="000000"/>
          <w:sz w:val="26"/>
          <w:szCs w:val="26"/>
          <w:lang w:val="el-GR"/>
        </w:rPr>
        <w:t>2018</w:t>
      </w:r>
    </w:p>
    <w:p w14:paraId="0BA78754" w14:textId="77777777" w:rsidR="0008722E" w:rsidRPr="00930545" w:rsidRDefault="0008722E" w:rsidP="0008722E">
      <w:pPr>
        <w:spacing w:before="241" w:line="257" w:lineRule="exact"/>
        <w:ind w:right="-23"/>
        <w:jc w:val="center"/>
        <w:textAlignment w:val="baseline"/>
        <w:rPr>
          <w:rFonts w:ascii="Bookman Old Style" w:eastAsia="Arial" w:hAnsi="Bookman Old Style"/>
          <w:color w:val="000000"/>
          <w:sz w:val="26"/>
          <w:szCs w:val="26"/>
          <w:lang w:val="el-GR"/>
        </w:rPr>
      </w:pPr>
      <w:r w:rsidRPr="00930545">
        <w:rPr>
          <w:rFonts w:ascii="Bookman Old Style" w:eastAsia="Arial" w:hAnsi="Bookman Old Style"/>
          <w:color w:val="000000"/>
          <w:sz w:val="26"/>
          <w:szCs w:val="26"/>
          <w:lang w:val="el-GR"/>
        </w:rPr>
        <w:t>ΚΑΙ</w:t>
      </w:r>
    </w:p>
    <w:p w14:paraId="34FF66C0" w14:textId="1ABCE2AA" w:rsidR="0008722E" w:rsidRPr="00930545" w:rsidRDefault="0008722E" w:rsidP="0008722E">
      <w:pPr>
        <w:tabs>
          <w:tab w:val="right" w:pos="9144"/>
        </w:tabs>
        <w:spacing w:before="246" w:after="240" w:line="276" w:lineRule="auto"/>
        <w:ind w:right="-23"/>
        <w:jc w:val="both"/>
        <w:textAlignment w:val="baseline"/>
        <w:rPr>
          <w:rFonts w:ascii="Bookman Old Style" w:eastAsia="Arial" w:hAnsi="Bookman Old Style"/>
          <w:color w:val="000000"/>
          <w:sz w:val="26"/>
          <w:szCs w:val="26"/>
          <w:lang w:val="el-GR"/>
        </w:rPr>
      </w:pPr>
      <w:r w:rsidRPr="00930545">
        <w:rPr>
          <w:rFonts w:ascii="Bookman Old Style" w:eastAsia="Arial" w:hAnsi="Bookman Old Style"/>
          <w:color w:val="000000"/>
          <w:sz w:val="26"/>
          <w:szCs w:val="26"/>
          <w:lang w:val="el-GR"/>
        </w:rPr>
        <w:t>ΑΝΑΦΟΡΙΚΑ ΜΕ ΤΗΝ ΑΙΤΗΣΗ ΤΗΣ Ε</w:t>
      </w:r>
      <w:r w:rsidR="00EF4944">
        <w:rPr>
          <w:rFonts w:ascii="Bookman Old Style" w:eastAsia="Arial" w:hAnsi="Bookman Old Style"/>
          <w:color w:val="000000"/>
          <w:sz w:val="26"/>
          <w:szCs w:val="26"/>
          <w:lang w:val="el-GR"/>
        </w:rPr>
        <w:t>.</w:t>
      </w:r>
      <w:r w:rsidRPr="00930545">
        <w:rPr>
          <w:rFonts w:ascii="Bookman Old Style" w:eastAsia="Arial" w:hAnsi="Bookman Old Style"/>
          <w:color w:val="000000"/>
          <w:sz w:val="26"/>
          <w:szCs w:val="26"/>
          <w:lang w:val="el-GR"/>
        </w:rPr>
        <w:t xml:space="preserve"> Κ</w:t>
      </w:r>
      <w:r w:rsidR="00EF4944">
        <w:rPr>
          <w:rFonts w:ascii="Bookman Old Style" w:eastAsia="Arial" w:hAnsi="Bookman Old Style"/>
          <w:color w:val="000000"/>
          <w:sz w:val="26"/>
          <w:szCs w:val="26"/>
          <w:lang w:val="el-GR"/>
        </w:rPr>
        <w:t>.</w:t>
      </w:r>
      <w:r w:rsidRPr="00930545">
        <w:rPr>
          <w:rFonts w:ascii="Bookman Old Style" w:eastAsia="Arial" w:hAnsi="Bookman Old Style"/>
          <w:color w:val="000000"/>
          <w:sz w:val="26"/>
          <w:szCs w:val="26"/>
          <w:lang w:val="el-GR"/>
        </w:rPr>
        <w:t xml:space="preserve"> ΓΙΑ ΤΗΝ ΕΚΔΟΣΗ ΔΙΑΤΑΓΜΑΤΟΣ ΕΝΤΑΛΜΑΤΟΣ </w:t>
      </w:r>
      <w:r w:rsidRPr="00930545">
        <w:rPr>
          <w:rFonts w:ascii="Bookman Old Style" w:eastAsia="Arial" w:hAnsi="Bookman Old Style"/>
          <w:color w:val="000000"/>
          <w:sz w:val="26"/>
          <w:szCs w:val="26"/>
        </w:rPr>
        <w:t>CERTIORARI</w:t>
      </w:r>
    </w:p>
    <w:p w14:paraId="4515B2CC" w14:textId="77777777" w:rsidR="0008722E" w:rsidRPr="00930545" w:rsidRDefault="0008722E" w:rsidP="0008722E">
      <w:pPr>
        <w:spacing w:before="277" w:line="257" w:lineRule="exact"/>
        <w:ind w:right="-23"/>
        <w:jc w:val="center"/>
        <w:textAlignment w:val="baseline"/>
        <w:rPr>
          <w:rFonts w:ascii="Bookman Old Style" w:eastAsia="Arial" w:hAnsi="Bookman Old Style"/>
          <w:color w:val="000000"/>
          <w:sz w:val="26"/>
          <w:szCs w:val="26"/>
          <w:lang w:val="el-GR"/>
        </w:rPr>
      </w:pPr>
      <w:r w:rsidRPr="00930545">
        <w:rPr>
          <w:rFonts w:ascii="Bookman Old Style" w:eastAsia="Arial" w:hAnsi="Bookman Old Style"/>
          <w:color w:val="000000"/>
          <w:sz w:val="26"/>
          <w:szCs w:val="26"/>
          <w:lang w:val="el-GR"/>
        </w:rPr>
        <w:t>ΚΑΙ</w:t>
      </w:r>
    </w:p>
    <w:p w14:paraId="6C791289" w14:textId="77777777" w:rsidR="0008722E" w:rsidRPr="00930545" w:rsidRDefault="0008722E" w:rsidP="0008722E">
      <w:pPr>
        <w:spacing w:before="250" w:line="276" w:lineRule="auto"/>
        <w:ind w:right="-23"/>
        <w:jc w:val="both"/>
        <w:textAlignment w:val="baseline"/>
        <w:rPr>
          <w:rFonts w:ascii="Bookman Old Style" w:eastAsia="Arial" w:hAnsi="Bookman Old Style"/>
          <w:color w:val="000000"/>
          <w:sz w:val="26"/>
          <w:szCs w:val="26"/>
          <w:lang w:val="el-GR"/>
        </w:rPr>
      </w:pPr>
      <w:r w:rsidRPr="00930545">
        <w:rPr>
          <w:rFonts w:ascii="Bookman Old Style" w:eastAsia="Arial" w:hAnsi="Bookman Old Style"/>
          <w:color w:val="000000"/>
          <w:sz w:val="26"/>
          <w:szCs w:val="26"/>
          <w:lang w:val="el-GR"/>
        </w:rPr>
        <w:t>ΑΝΑΦΟΡΙΚΑ ΜΕ ΤΗΝ ΑΠΟΦΑΣΗ ΗΜΕΡΟΜΗΝΙΑΣ 27 ΣΕΠΤΕΜΒΡΙΟΥ 2023 ΠΟΥ ΕΚΔΟΘΗΚΕ ΑΠΟ ΤΟ ΕΠΑΡΧΙΑΚΟ ΔΙΚΑΣΤΗΡΙΟ ΛΕΥΚΩΣΙΑΣ ΔΥΝΑΜΕΙ ΤΟΥ ΑΡΘΡΟΥ 124Α ΤΟΥ ΠΕΡΙ ΠΟΙΝΙΚΗΣ ΔΙΚΟΝΟΜΙΑΣ ΝΟΜΟΥ (ΚΕΦ.155) ΣΤΑ ΠΛΑΙΣΙΑ ΤΗΣ ΑΙΤΗΣΗΣ ΔΙΑΤΡΟΦΗΣ 150/2018.</w:t>
      </w:r>
    </w:p>
    <w:p w14:paraId="7BC912CB" w14:textId="77777777" w:rsidR="0008722E" w:rsidRDefault="0008722E" w:rsidP="0008722E">
      <w:pPr>
        <w:spacing w:line="276" w:lineRule="auto"/>
        <w:ind w:right="-23"/>
        <w:jc w:val="center"/>
        <w:textAlignment w:val="baseline"/>
        <w:rPr>
          <w:rFonts w:ascii="Bookman Old Style" w:eastAsia="Arial" w:hAnsi="Bookman Old Style"/>
          <w:color w:val="000000"/>
          <w:sz w:val="26"/>
          <w:szCs w:val="26"/>
          <w:lang w:val="el-GR"/>
        </w:rPr>
      </w:pPr>
      <w:r w:rsidRPr="00930545">
        <w:rPr>
          <w:rFonts w:ascii="Bookman Old Style" w:eastAsia="Arial" w:hAnsi="Bookman Old Style"/>
          <w:color w:val="000000"/>
          <w:sz w:val="26"/>
          <w:szCs w:val="26"/>
          <w:lang w:val="el-GR"/>
        </w:rPr>
        <w:t>................</w:t>
      </w:r>
    </w:p>
    <w:p w14:paraId="2A19B030" w14:textId="77777777" w:rsidR="00402904" w:rsidRDefault="00402904" w:rsidP="0008722E">
      <w:pPr>
        <w:spacing w:line="276" w:lineRule="auto"/>
        <w:ind w:right="-23"/>
        <w:jc w:val="center"/>
        <w:textAlignment w:val="baseline"/>
        <w:rPr>
          <w:rFonts w:ascii="Bookman Old Style" w:eastAsia="Arial" w:hAnsi="Bookman Old Style"/>
          <w:color w:val="000000"/>
          <w:sz w:val="26"/>
          <w:szCs w:val="26"/>
          <w:lang w:val="el-GR"/>
        </w:rPr>
      </w:pPr>
    </w:p>
    <w:p w14:paraId="093B1BF1" w14:textId="02D812EF" w:rsidR="00402904" w:rsidRDefault="00402904" w:rsidP="00402904">
      <w:pPr>
        <w:tabs>
          <w:tab w:val="left" w:pos="567"/>
        </w:tabs>
        <w:ind w:left="567"/>
        <w:rPr>
          <w:rFonts w:ascii="Bookman Old Style" w:hAnsi="Bookman Old Style"/>
          <w:sz w:val="28"/>
          <w:szCs w:val="28"/>
          <w:lang w:val="el-GR"/>
        </w:rPr>
      </w:pPr>
      <w:r>
        <w:rPr>
          <w:rFonts w:ascii="Bookman Old Style" w:eastAsia="Arial" w:hAnsi="Bookman Old Style"/>
          <w:i/>
          <w:iCs/>
          <w:color w:val="000000"/>
          <w:sz w:val="26"/>
          <w:szCs w:val="26"/>
          <w:lang w:val="el-GR"/>
        </w:rPr>
        <w:t xml:space="preserve">Λ. </w:t>
      </w:r>
      <w:proofErr w:type="spellStart"/>
      <w:r>
        <w:rPr>
          <w:rFonts w:ascii="Bookman Old Style" w:eastAsia="Arial" w:hAnsi="Bookman Old Style"/>
          <w:i/>
          <w:iCs/>
          <w:color w:val="000000"/>
          <w:sz w:val="26"/>
          <w:szCs w:val="26"/>
          <w:lang w:val="el-GR"/>
        </w:rPr>
        <w:t>Βραχίμης</w:t>
      </w:r>
      <w:proofErr w:type="spellEnd"/>
      <w:r>
        <w:rPr>
          <w:rFonts w:ascii="Bookman Old Style" w:eastAsia="Arial" w:hAnsi="Bookman Old Style"/>
          <w:i/>
          <w:iCs/>
          <w:color w:val="000000"/>
          <w:sz w:val="26"/>
          <w:szCs w:val="26"/>
          <w:lang w:val="el-GR"/>
        </w:rPr>
        <w:t xml:space="preserve">, για </w:t>
      </w:r>
      <w:r>
        <w:rPr>
          <w:rFonts w:ascii="Bookman Old Style" w:hAnsi="Bookman Old Style"/>
          <w:i/>
          <w:iCs/>
          <w:sz w:val="28"/>
          <w:szCs w:val="28"/>
          <w:lang w:val="el-GR"/>
        </w:rPr>
        <w:t xml:space="preserve">Ελένη </w:t>
      </w:r>
      <w:proofErr w:type="spellStart"/>
      <w:r>
        <w:rPr>
          <w:rFonts w:ascii="Bookman Old Style" w:hAnsi="Bookman Old Style"/>
          <w:i/>
          <w:iCs/>
          <w:sz w:val="28"/>
          <w:szCs w:val="28"/>
          <w:lang w:val="el-GR"/>
        </w:rPr>
        <w:t>Βραχίμη</w:t>
      </w:r>
      <w:proofErr w:type="spellEnd"/>
      <w:r>
        <w:rPr>
          <w:rFonts w:ascii="Bookman Old Style" w:hAnsi="Bookman Old Style"/>
          <w:i/>
          <w:iCs/>
          <w:sz w:val="28"/>
          <w:szCs w:val="28"/>
          <w:lang w:val="el-GR"/>
        </w:rPr>
        <w:t xml:space="preserve"> &amp; Σία ΔΕΠΕ</w:t>
      </w:r>
      <w:r>
        <w:rPr>
          <w:rFonts w:ascii="Bookman Old Style" w:hAnsi="Bookman Old Style"/>
          <w:sz w:val="28"/>
          <w:szCs w:val="28"/>
          <w:lang w:val="el-GR"/>
        </w:rPr>
        <w:t xml:space="preserve">, για την </w:t>
      </w:r>
      <w:proofErr w:type="spellStart"/>
      <w:r>
        <w:rPr>
          <w:rFonts w:ascii="Bookman Old Style" w:hAnsi="Bookman Old Style"/>
          <w:sz w:val="28"/>
          <w:szCs w:val="28"/>
          <w:lang w:val="el-GR"/>
        </w:rPr>
        <w:t>Αιτήτρια</w:t>
      </w:r>
      <w:proofErr w:type="spellEnd"/>
      <w:r>
        <w:rPr>
          <w:rFonts w:ascii="Bookman Old Style" w:hAnsi="Bookman Old Style"/>
          <w:sz w:val="28"/>
          <w:szCs w:val="28"/>
          <w:lang w:val="el-GR"/>
        </w:rPr>
        <w:t>.</w:t>
      </w:r>
    </w:p>
    <w:p w14:paraId="5B4C73A8" w14:textId="7F38C740" w:rsidR="00402904" w:rsidRPr="00FC4D2F" w:rsidRDefault="00402904" w:rsidP="00402904">
      <w:pPr>
        <w:tabs>
          <w:tab w:val="left" w:pos="567"/>
        </w:tabs>
        <w:ind w:left="567"/>
        <w:rPr>
          <w:rFonts w:ascii="Bookman Old Style" w:hAnsi="Bookman Old Style"/>
          <w:sz w:val="28"/>
          <w:szCs w:val="28"/>
          <w:lang w:val="el-GR"/>
        </w:rPr>
      </w:pPr>
      <w:r>
        <w:rPr>
          <w:rFonts w:ascii="Bookman Old Style" w:hAnsi="Bookman Old Style"/>
          <w:i/>
          <w:iCs/>
          <w:sz w:val="28"/>
          <w:szCs w:val="28"/>
          <w:lang w:val="el-GR"/>
        </w:rPr>
        <w:t xml:space="preserve">Α. Κυριάκου, </w:t>
      </w:r>
      <w:r>
        <w:rPr>
          <w:rFonts w:ascii="Bookman Old Style" w:hAnsi="Bookman Old Style"/>
          <w:sz w:val="28"/>
          <w:szCs w:val="28"/>
          <w:lang w:val="el-GR"/>
        </w:rPr>
        <w:t>για τον Καθ’ ου η Αίτηση.</w:t>
      </w:r>
    </w:p>
    <w:p w14:paraId="69296ED6" w14:textId="77777777" w:rsidR="004F72B4" w:rsidRPr="00FC4D2F" w:rsidRDefault="004F72B4" w:rsidP="00402904">
      <w:pPr>
        <w:tabs>
          <w:tab w:val="left" w:pos="567"/>
        </w:tabs>
        <w:ind w:left="567"/>
        <w:rPr>
          <w:rFonts w:ascii="Bookman Old Style" w:hAnsi="Bookman Old Style"/>
          <w:sz w:val="28"/>
          <w:szCs w:val="28"/>
          <w:lang w:val="el-GR"/>
        </w:rPr>
      </w:pPr>
    </w:p>
    <w:p w14:paraId="63A8AE09" w14:textId="77777777" w:rsidR="004F72B4" w:rsidRPr="00FC4D2F" w:rsidRDefault="004F72B4" w:rsidP="004F72B4">
      <w:pPr>
        <w:tabs>
          <w:tab w:val="left" w:pos="567"/>
        </w:tabs>
        <w:ind w:left="567"/>
        <w:jc w:val="both"/>
        <w:rPr>
          <w:rFonts w:ascii="Bookman Old Style" w:hAnsi="Bookman Old Style"/>
          <w:sz w:val="28"/>
          <w:szCs w:val="28"/>
          <w:lang w:val="el-GR"/>
        </w:rPr>
      </w:pPr>
    </w:p>
    <w:p w14:paraId="101D12DD" w14:textId="77777777" w:rsidR="004F72B4" w:rsidRPr="000B1009" w:rsidRDefault="004F72B4" w:rsidP="004F72B4">
      <w:pPr>
        <w:tabs>
          <w:tab w:val="left" w:pos="567"/>
        </w:tabs>
        <w:ind w:right="-22"/>
        <w:jc w:val="center"/>
        <w:textAlignment w:val="baseline"/>
        <w:rPr>
          <w:rFonts w:ascii="Bookman Old Style" w:eastAsia="Arial" w:hAnsi="Bookman Old Style"/>
          <w:b/>
          <w:bCs/>
          <w:color w:val="000000"/>
          <w:sz w:val="28"/>
          <w:szCs w:val="28"/>
          <w:u w:val="single"/>
          <w:lang w:val="el-GR"/>
        </w:rPr>
      </w:pPr>
      <w:r w:rsidRPr="000B1009">
        <w:rPr>
          <w:rFonts w:ascii="Bookman Old Style" w:eastAsia="Arial" w:hAnsi="Bookman Old Style"/>
          <w:b/>
          <w:bCs/>
          <w:color w:val="000000"/>
          <w:sz w:val="28"/>
          <w:szCs w:val="28"/>
          <w:u w:val="single"/>
          <w:lang w:val="el-GR"/>
        </w:rPr>
        <w:t>Α Π Ο Φ Α Σ Η</w:t>
      </w:r>
    </w:p>
    <w:p w14:paraId="46695EFC" w14:textId="77777777" w:rsidR="004F72B4" w:rsidRDefault="004F72B4" w:rsidP="004F72B4">
      <w:pPr>
        <w:spacing w:before="240"/>
        <w:rPr>
          <w:rFonts w:ascii="Bookman Old Style" w:hAnsi="Bookman Old Style"/>
          <w:sz w:val="28"/>
          <w:szCs w:val="28"/>
          <w:lang w:val="el-GR"/>
        </w:rPr>
      </w:pPr>
      <w:r>
        <w:rPr>
          <w:rFonts w:ascii="Bookman Old Style" w:hAnsi="Bookman Old Style"/>
          <w:sz w:val="28"/>
          <w:szCs w:val="28"/>
          <w:lang w:val="el-GR"/>
        </w:rPr>
        <w:tab/>
      </w:r>
    </w:p>
    <w:p w14:paraId="270BF0AE" w14:textId="7C2416E5" w:rsidR="004F72B4" w:rsidRDefault="004F72B4" w:rsidP="00E37088">
      <w:pPr>
        <w:tabs>
          <w:tab w:val="left" w:pos="567"/>
        </w:tabs>
        <w:spacing w:line="480" w:lineRule="auto"/>
        <w:jc w:val="both"/>
        <w:rPr>
          <w:rFonts w:ascii="Bookman Old Style" w:hAnsi="Bookman Old Style" w:cstheme="majorBidi"/>
          <w:sz w:val="28"/>
          <w:szCs w:val="28"/>
          <w:lang w:val="el-GR"/>
        </w:rPr>
      </w:pPr>
      <w:r>
        <w:rPr>
          <w:rFonts w:ascii="Bookman Old Style" w:hAnsi="Bookman Old Style" w:cstheme="majorBidi"/>
          <w:b/>
          <w:bCs/>
          <w:sz w:val="28"/>
          <w:szCs w:val="28"/>
          <w:lang w:val="el-GR"/>
        </w:rPr>
        <w:tab/>
      </w:r>
      <w:r w:rsidRPr="00EF2216">
        <w:rPr>
          <w:rFonts w:ascii="Bookman Old Style" w:hAnsi="Bookman Old Style" w:cstheme="majorBidi"/>
          <w:b/>
          <w:bCs/>
          <w:sz w:val="28"/>
          <w:szCs w:val="28"/>
          <w:lang w:val="el-GR"/>
        </w:rPr>
        <w:t>ΔΑΥΙΔ, Δ.:</w:t>
      </w:r>
      <w:r>
        <w:rPr>
          <w:rFonts w:ascii="Bookman Old Style" w:hAnsi="Bookman Old Style" w:cstheme="majorBidi"/>
          <w:b/>
          <w:bCs/>
          <w:sz w:val="28"/>
          <w:szCs w:val="28"/>
          <w:lang w:val="el-GR"/>
        </w:rPr>
        <w:t xml:space="preserve">  </w:t>
      </w:r>
      <w:r>
        <w:rPr>
          <w:rFonts w:ascii="Bookman Old Style" w:hAnsi="Bookman Old Style" w:cstheme="majorBidi"/>
          <w:sz w:val="28"/>
          <w:szCs w:val="28"/>
          <w:lang w:val="el-GR"/>
        </w:rPr>
        <w:t>Με άδεια που δόθηκε</w:t>
      </w:r>
      <w:r w:rsidR="00FC4D2F" w:rsidRPr="00FC4D2F">
        <w:rPr>
          <w:rFonts w:ascii="Bookman Old Style" w:hAnsi="Bookman Old Style" w:cstheme="majorBidi"/>
          <w:sz w:val="28"/>
          <w:szCs w:val="28"/>
          <w:lang w:val="el-GR"/>
        </w:rPr>
        <w:t xml:space="preserve"> </w:t>
      </w:r>
      <w:r w:rsidR="00FC4D2F">
        <w:rPr>
          <w:rFonts w:ascii="Bookman Old Style" w:hAnsi="Bookman Old Style" w:cstheme="majorBidi"/>
          <w:sz w:val="28"/>
          <w:szCs w:val="28"/>
          <w:lang w:val="el-GR"/>
        </w:rPr>
        <w:t>στις 28.11.2023,</w:t>
      </w:r>
      <w:r>
        <w:rPr>
          <w:rFonts w:ascii="Bookman Old Style" w:hAnsi="Bookman Old Style" w:cstheme="majorBidi"/>
          <w:sz w:val="28"/>
          <w:szCs w:val="28"/>
          <w:lang w:val="el-GR"/>
        </w:rPr>
        <w:t xml:space="preserve"> από το παρόν Δικαστήριο, </w:t>
      </w:r>
      <w:r w:rsidR="00FC4D2F">
        <w:rPr>
          <w:rFonts w:ascii="Bookman Old Style" w:hAnsi="Bookman Old Style" w:cstheme="majorBidi"/>
          <w:sz w:val="28"/>
          <w:szCs w:val="28"/>
          <w:lang w:val="el-GR"/>
        </w:rPr>
        <w:t>(</w:t>
      </w:r>
      <w:r>
        <w:rPr>
          <w:rFonts w:ascii="Bookman Old Style" w:hAnsi="Bookman Old Style" w:cstheme="majorBidi"/>
          <w:sz w:val="28"/>
          <w:szCs w:val="28"/>
          <w:lang w:val="el-GR"/>
        </w:rPr>
        <w:t xml:space="preserve">Πολιτική Αίτηση </w:t>
      </w:r>
      <w:proofErr w:type="spellStart"/>
      <w:r>
        <w:rPr>
          <w:rFonts w:ascii="Bookman Old Style" w:hAnsi="Bookman Old Style" w:cstheme="majorBidi"/>
          <w:sz w:val="28"/>
          <w:szCs w:val="28"/>
          <w:lang w:val="el-GR"/>
        </w:rPr>
        <w:t>Αρ</w:t>
      </w:r>
      <w:proofErr w:type="spellEnd"/>
      <w:r>
        <w:rPr>
          <w:rFonts w:ascii="Bookman Old Style" w:hAnsi="Bookman Old Style" w:cstheme="majorBidi"/>
          <w:sz w:val="28"/>
          <w:szCs w:val="28"/>
          <w:lang w:val="el-GR"/>
        </w:rPr>
        <w:t>. 149/2023</w:t>
      </w:r>
      <w:r w:rsidR="00FC4D2F">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FC4D2F">
        <w:rPr>
          <w:rFonts w:ascii="Bookman Old Style" w:hAnsi="Bookman Old Style" w:cstheme="majorBidi"/>
          <w:sz w:val="28"/>
          <w:szCs w:val="28"/>
          <w:lang w:val="el-GR"/>
        </w:rPr>
        <w:t xml:space="preserve">καταχωρήθηκε </w:t>
      </w:r>
      <w:r w:rsidR="00FC4D2F">
        <w:rPr>
          <w:rFonts w:ascii="Bookman Old Style" w:hAnsi="Bookman Old Style" w:cstheme="majorBidi"/>
          <w:sz w:val="28"/>
          <w:szCs w:val="28"/>
          <w:lang w:val="el-GR"/>
        </w:rPr>
        <w:lastRenderedPageBreak/>
        <w:t xml:space="preserve">η </w:t>
      </w:r>
      <w:r>
        <w:rPr>
          <w:rFonts w:ascii="Bookman Old Style" w:hAnsi="Bookman Old Style" w:cstheme="majorBidi"/>
          <w:sz w:val="28"/>
          <w:szCs w:val="28"/>
          <w:lang w:val="el-GR"/>
        </w:rPr>
        <w:t>παρούσα αίτηση</w:t>
      </w:r>
      <w:r w:rsidR="00A616EB" w:rsidRPr="00A616EB">
        <w:rPr>
          <w:rFonts w:ascii="Bookman Old Style" w:hAnsi="Bookman Old Style" w:cstheme="majorBidi"/>
          <w:sz w:val="28"/>
          <w:szCs w:val="28"/>
          <w:lang w:val="el-GR"/>
        </w:rPr>
        <w:t xml:space="preserve">. </w:t>
      </w:r>
      <w:r w:rsidR="00A616EB">
        <w:rPr>
          <w:rFonts w:ascii="Bookman Old Style" w:hAnsi="Bookman Old Style" w:cstheme="majorBidi"/>
          <w:sz w:val="28"/>
          <w:szCs w:val="28"/>
          <w:lang w:val="el-GR"/>
        </w:rPr>
        <w:t xml:space="preserve">Μέσω της, </w:t>
      </w:r>
      <w:r>
        <w:rPr>
          <w:rFonts w:ascii="Bookman Old Style" w:hAnsi="Bookman Old Style" w:cstheme="majorBidi"/>
          <w:sz w:val="28"/>
          <w:szCs w:val="28"/>
          <w:lang w:val="el-GR"/>
        </w:rPr>
        <w:t>επιζητείται η έκδοση εντάλματος</w:t>
      </w:r>
      <w:r w:rsidR="00FC4D2F">
        <w:rPr>
          <w:rFonts w:ascii="Bookman Old Style" w:hAnsi="Bookman Old Style" w:cstheme="majorBidi"/>
          <w:sz w:val="28"/>
          <w:szCs w:val="28"/>
          <w:lang w:val="el-GR"/>
        </w:rPr>
        <w:t>,</w:t>
      </w:r>
      <w:r>
        <w:rPr>
          <w:rFonts w:ascii="Bookman Old Style" w:hAnsi="Bookman Old Style" w:cstheme="majorBidi"/>
          <w:sz w:val="28"/>
          <w:szCs w:val="28"/>
          <w:lang w:val="el-GR"/>
        </w:rPr>
        <w:t xml:space="preserve"> φύσεως </w:t>
      </w:r>
      <w:r>
        <w:rPr>
          <w:rFonts w:ascii="Bookman Old Style" w:hAnsi="Bookman Old Style" w:cstheme="majorBidi"/>
          <w:sz w:val="28"/>
          <w:szCs w:val="28"/>
        </w:rPr>
        <w:t>Certiorari</w:t>
      </w:r>
      <w:r w:rsidR="00FC4D2F">
        <w:rPr>
          <w:rFonts w:ascii="Bookman Old Style" w:hAnsi="Bookman Old Style" w:cstheme="majorBidi"/>
          <w:sz w:val="28"/>
          <w:szCs w:val="28"/>
          <w:lang w:val="el-GR"/>
        </w:rPr>
        <w:t>,</w:t>
      </w:r>
      <w:r w:rsidRPr="004F72B4">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για παραμερισμό και/ή ακύρωση της απόφασης του Οικογενειακού Δικαστηρίου Λευκωσίας σε σχέση με τη διαδικασία που η </w:t>
      </w:r>
      <w:proofErr w:type="spellStart"/>
      <w:r>
        <w:rPr>
          <w:rFonts w:ascii="Bookman Old Style" w:hAnsi="Bookman Old Style" w:cstheme="majorBidi"/>
          <w:sz w:val="28"/>
          <w:szCs w:val="28"/>
          <w:lang w:val="el-GR"/>
        </w:rPr>
        <w:t>Αιτήτρια</w:t>
      </w:r>
      <w:proofErr w:type="spellEnd"/>
      <w:r>
        <w:rPr>
          <w:rFonts w:ascii="Bookman Old Style" w:hAnsi="Bookman Old Style" w:cstheme="majorBidi"/>
          <w:sz w:val="28"/>
          <w:szCs w:val="28"/>
          <w:lang w:val="el-GR"/>
        </w:rPr>
        <w:t xml:space="preserve"> </w:t>
      </w:r>
      <w:r w:rsidR="00FC4D2F">
        <w:rPr>
          <w:rFonts w:ascii="Bookman Old Style" w:hAnsi="Bookman Old Style" w:cstheme="majorBidi"/>
          <w:sz w:val="28"/>
          <w:szCs w:val="28"/>
          <w:lang w:val="el-GR"/>
        </w:rPr>
        <w:t xml:space="preserve">θα πρέπει </w:t>
      </w:r>
      <w:r>
        <w:rPr>
          <w:rFonts w:ascii="Bookman Old Style" w:hAnsi="Bookman Old Style" w:cstheme="majorBidi"/>
          <w:sz w:val="28"/>
          <w:szCs w:val="28"/>
          <w:lang w:val="el-GR"/>
        </w:rPr>
        <w:t>να ακολουθήσει για σκοπούς έκδοσης εντάλματος φυλάκισης για οφειλόμενες διατροφές.</w:t>
      </w:r>
    </w:p>
    <w:p w14:paraId="7154DD91" w14:textId="5BBF4206" w:rsidR="004F72B4" w:rsidRDefault="004F72B4" w:rsidP="00E37088">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C843B5">
        <w:rPr>
          <w:rFonts w:ascii="Bookman Old Style" w:hAnsi="Bookman Old Style" w:cstheme="majorBidi"/>
          <w:sz w:val="28"/>
          <w:szCs w:val="28"/>
          <w:lang w:val="el-GR"/>
        </w:rPr>
        <w:t xml:space="preserve">Ως προκύπτει από τα αναντίλεκτα γεγονότα που τέθηκαν υπόψη του Δικαστηρίου, </w:t>
      </w:r>
      <w:r>
        <w:rPr>
          <w:rFonts w:ascii="Bookman Old Style" w:hAnsi="Bookman Old Style" w:cstheme="majorBidi"/>
          <w:sz w:val="28"/>
          <w:szCs w:val="28"/>
          <w:lang w:val="el-GR"/>
        </w:rPr>
        <w:t>στις 12.</w:t>
      </w:r>
      <w:r w:rsidR="00C23EF0">
        <w:rPr>
          <w:rFonts w:ascii="Bookman Old Style" w:hAnsi="Bookman Old Style" w:cstheme="majorBidi"/>
          <w:sz w:val="28"/>
          <w:szCs w:val="28"/>
          <w:lang w:val="el-GR"/>
        </w:rPr>
        <w:t>0</w:t>
      </w:r>
      <w:r>
        <w:rPr>
          <w:rFonts w:ascii="Bookman Old Style" w:hAnsi="Bookman Old Style" w:cstheme="majorBidi"/>
          <w:sz w:val="28"/>
          <w:szCs w:val="28"/>
          <w:lang w:val="el-GR"/>
        </w:rPr>
        <w:t xml:space="preserve">8.2016, στο πλαίσιο </w:t>
      </w:r>
      <w:r w:rsidR="00C843B5">
        <w:rPr>
          <w:rFonts w:ascii="Bookman Old Style" w:hAnsi="Bookman Old Style" w:cstheme="majorBidi"/>
          <w:sz w:val="28"/>
          <w:szCs w:val="28"/>
          <w:lang w:val="el-GR"/>
        </w:rPr>
        <w:t>Α</w:t>
      </w:r>
      <w:r>
        <w:rPr>
          <w:rFonts w:ascii="Bookman Old Style" w:hAnsi="Bookman Old Style" w:cstheme="majorBidi"/>
          <w:sz w:val="28"/>
          <w:szCs w:val="28"/>
          <w:lang w:val="el-GR"/>
        </w:rPr>
        <w:t xml:space="preserve">ίτησης </w:t>
      </w:r>
      <w:r w:rsidR="00C843B5">
        <w:rPr>
          <w:rFonts w:ascii="Bookman Old Style" w:hAnsi="Bookman Old Style" w:cstheme="majorBidi"/>
          <w:sz w:val="28"/>
          <w:szCs w:val="28"/>
          <w:lang w:val="el-GR"/>
        </w:rPr>
        <w:t>Π</w:t>
      </w:r>
      <w:r>
        <w:rPr>
          <w:rFonts w:ascii="Bookman Old Style" w:hAnsi="Bookman Old Style" w:cstheme="majorBidi"/>
          <w:sz w:val="28"/>
          <w:szCs w:val="28"/>
          <w:lang w:val="el-GR"/>
        </w:rPr>
        <w:t xml:space="preserve">ατρικής </w:t>
      </w:r>
      <w:r w:rsidR="00C843B5">
        <w:rPr>
          <w:rFonts w:ascii="Bookman Old Style" w:hAnsi="Bookman Old Style" w:cstheme="majorBidi"/>
          <w:sz w:val="28"/>
          <w:szCs w:val="28"/>
          <w:lang w:val="el-GR"/>
        </w:rPr>
        <w:t>Α</w:t>
      </w:r>
      <w:r>
        <w:rPr>
          <w:rFonts w:ascii="Bookman Old Style" w:hAnsi="Bookman Old Style" w:cstheme="majorBidi"/>
          <w:sz w:val="28"/>
          <w:szCs w:val="28"/>
          <w:lang w:val="el-GR"/>
        </w:rPr>
        <w:t>ναγνώρισης</w:t>
      </w:r>
      <w:r w:rsidR="00C843B5">
        <w:rPr>
          <w:rFonts w:ascii="Bookman Old Style" w:hAnsi="Bookman Old Style" w:cstheme="majorBidi"/>
          <w:sz w:val="28"/>
          <w:szCs w:val="28"/>
          <w:lang w:val="el-GR"/>
        </w:rPr>
        <w:t>,</w:t>
      </w:r>
      <w:r>
        <w:rPr>
          <w:rFonts w:ascii="Bookman Old Style" w:hAnsi="Bookman Old Style" w:cstheme="majorBidi"/>
          <w:sz w:val="28"/>
          <w:szCs w:val="28"/>
          <w:lang w:val="el-GR"/>
        </w:rPr>
        <w:t xml:space="preserve"> η Φ</w:t>
      </w:r>
      <w:r w:rsidR="00EF4944">
        <w:rPr>
          <w:rFonts w:ascii="Bookman Old Style" w:hAnsi="Bookman Old Style" w:cstheme="majorBidi"/>
          <w:sz w:val="28"/>
          <w:szCs w:val="28"/>
          <w:lang w:val="el-GR"/>
        </w:rPr>
        <w:t>.</w:t>
      </w:r>
      <w:r>
        <w:rPr>
          <w:rFonts w:ascii="Bookman Old Style" w:hAnsi="Bookman Old Style" w:cstheme="majorBidi"/>
          <w:sz w:val="28"/>
          <w:szCs w:val="28"/>
          <w:lang w:val="el-GR"/>
        </w:rPr>
        <w:t xml:space="preserve"> Κ</w:t>
      </w:r>
      <w:r w:rsidR="00EF4944">
        <w:rPr>
          <w:rFonts w:ascii="Bookman Old Style" w:hAnsi="Bookman Old Style" w:cstheme="majorBidi"/>
          <w:sz w:val="28"/>
          <w:szCs w:val="28"/>
          <w:lang w:val="el-GR"/>
        </w:rPr>
        <w:t>.</w:t>
      </w:r>
      <w:r>
        <w:rPr>
          <w:rFonts w:ascii="Bookman Old Style" w:hAnsi="Bookman Old Style" w:cstheme="majorBidi"/>
          <w:sz w:val="28"/>
          <w:szCs w:val="28"/>
          <w:lang w:val="el-GR"/>
        </w:rPr>
        <w:t>, που γεννήθηκε στις 10.</w:t>
      </w:r>
      <w:r w:rsidR="00F92227">
        <w:rPr>
          <w:rFonts w:ascii="Bookman Old Style" w:hAnsi="Bookman Old Style" w:cstheme="majorBidi"/>
          <w:sz w:val="28"/>
          <w:szCs w:val="28"/>
          <w:lang w:val="el-GR"/>
        </w:rPr>
        <w:t>0</w:t>
      </w:r>
      <w:r>
        <w:rPr>
          <w:rFonts w:ascii="Bookman Old Style" w:hAnsi="Bookman Old Style" w:cstheme="majorBidi"/>
          <w:sz w:val="28"/>
          <w:szCs w:val="28"/>
          <w:lang w:val="el-GR"/>
        </w:rPr>
        <w:t xml:space="preserve">8.2012 εκτός γάμου των γονέων </w:t>
      </w:r>
      <w:r w:rsidR="00C843B5">
        <w:rPr>
          <w:rFonts w:ascii="Bookman Old Style" w:hAnsi="Bookman Old Style" w:cstheme="majorBidi"/>
          <w:sz w:val="28"/>
          <w:szCs w:val="28"/>
          <w:lang w:val="el-GR"/>
        </w:rPr>
        <w:t>της,</w:t>
      </w:r>
      <w:r>
        <w:rPr>
          <w:rFonts w:ascii="Bookman Old Style" w:hAnsi="Bookman Old Style" w:cstheme="majorBidi"/>
          <w:sz w:val="28"/>
          <w:szCs w:val="28"/>
          <w:lang w:val="el-GR"/>
        </w:rPr>
        <w:t xml:space="preserve"> αναγνωρίστηκε ως τέκνο της </w:t>
      </w:r>
      <w:proofErr w:type="spellStart"/>
      <w:r>
        <w:rPr>
          <w:rFonts w:ascii="Bookman Old Style" w:hAnsi="Bookman Old Style" w:cstheme="majorBidi"/>
          <w:sz w:val="28"/>
          <w:szCs w:val="28"/>
          <w:lang w:val="el-GR"/>
        </w:rPr>
        <w:t>Αιτήτριας</w:t>
      </w:r>
      <w:proofErr w:type="spellEnd"/>
      <w:r>
        <w:rPr>
          <w:rFonts w:ascii="Bookman Old Style" w:hAnsi="Bookman Old Style" w:cstheme="majorBidi"/>
          <w:sz w:val="28"/>
          <w:szCs w:val="28"/>
          <w:lang w:val="el-GR"/>
        </w:rPr>
        <w:t xml:space="preserve"> μητέρας της και του Σ</w:t>
      </w:r>
      <w:r w:rsidR="00EF4944">
        <w:rPr>
          <w:rFonts w:ascii="Bookman Old Style" w:hAnsi="Bookman Old Style" w:cstheme="majorBidi"/>
          <w:sz w:val="28"/>
          <w:szCs w:val="28"/>
          <w:lang w:val="el-GR"/>
        </w:rPr>
        <w:t>.</w:t>
      </w:r>
      <w:r>
        <w:rPr>
          <w:rFonts w:ascii="Bookman Old Style" w:hAnsi="Bookman Old Style" w:cstheme="majorBidi"/>
          <w:sz w:val="28"/>
          <w:szCs w:val="28"/>
          <w:lang w:val="el-GR"/>
        </w:rPr>
        <w:t xml:space="preserve"> Ξ</w:t>
      </w:r>
      <w:r w:rsidR="00EF4944">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F92227">
        <w:rPr>
          <w:rFonts w:ascii="Bookman Old Style" w:hAnsi="Bookman Old Style" w:cstheme="majorBidi"/>
          <w:sz w:val="28"/>
          <w:szCs w:val="28"/>
          <w:lang w:val="el-GR"/>
        </w:rPr>
        <w:t>Η ως άνω ανήλικη, από τις πρώτες μέρες της ζωής της</w:t>
      </w:r>
      <w:r w:rsidR="00F92227" w:rsidRPr="00F92227">
        <w:rPr>
          <w:rFonts w:ascii="Bookman Old Style" w:hAnsi="Bookman Old Style" w:cstheme="majorBidi"/>
          <w:sz w:val="28"/>
          <w:szCs w:val="28"/>
          <w:lang w:val="el-GR"/>
        </w:rPr>
        <w:t xml:space="preserve"> </w:t>
      </w:r>
      <w:r w:rsidR="00F92227">
        <w:rPr>
          <w:rFonts w:ascii="Bookman Old Style" w:hAnsi="Bookman Old Style" w:cstheme="majorBidi"/>
          <w:sz w:val="28"/>
          <w:szCs w:val="28"/>
          <w:lang w:val="el-GR"/>
        </w:rPr>
        <w:t xml:space="preserve">διαγνώστηκε με σύνδρομο </w:t>
      </w:r>
      <w:r w:rsidR="00F92227">
        <w:rPr>
          <w:rFonts w:ascii="Bookman Old Style" w:hAnsi="Bookman Old Style" w:cstheme="majorBidi"/>
          <w:sz w:val="28"/>
          <w:szCs w:val="28"/>
        </w:rPr>
        <w:t>Down</w:t>
      </w:r>
      <w:r w:rsidR="00F92227">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Ο </w:t>
      </w:r>
      <w:r w:rsidR="00F92227">
        <w:rPr>
          <w:rFonts w:ascii="Bookman Old Style" w:hAnsi="Bookman Old Style" w:cstheme="majorBidi"/>
          <w:sz w:val="28"/>
          <w:szCs w:val="28"/>
          <w:lang w:val="el-GR"/>
        </w:rPr>
        <w:t>Σ</w:t>
      </w:r>
      <w:r w:rsidR="00EF4944">
        <w:rPr>
          <w:rFonts w:ascii="Bookman Old Style" w:hAnsi="Bookman Old Style" w:cstheme="majorBidi"/>
          <w:sz w:val="28"/>
          <w:szCs w:val="28"/>
          <w:lang w:val="el-GR"/>
        </w:rPr>
        <w:t>.</w:t>
      </w:r>
      <w:r w:rsidR="00F92227">
        <w:rPr>
          <w:rFonts w:ascii="Bookman Old Style" w:hAnsi="Bookman Old Style" w:cstheme="majorBidi"/>
          <w:sz w:val="28"/>
          <w:szCs w:val="28"/>
          <w:lang w:val="el-GR"/>
        </w:rPr>
        <w:t xml:space="preserve"> Ξ</w:t>
      </w:r>
      <w:r w:rsidR="00EF4944">
        <w:rPr>
          <w:rFonts w:ascii="Bookman Old Style" w:hAnsi="Bookman Old Style" w:cstheme="majorBidi"/>
          <w:sz w:val="28"/>
          <w:szCs w:val="28"/>
          <w:lang w:val="el-GR"/>
        </w:rPr>
        <w:t>.</w:t>
      </w:r>
      <w:r w:rsidR="00F92227">
        <w:rPr>
          <w:rFonts w:ascii="Bookman Old Style" w:hAnsi="Bookman Old Style" w:cstheme="majorBidi"/>
          <w:sz w:val="28"/>
          <w:szCs w:val="28"/>
          <w:lang w:val="el-GR"/>
        </w:rPr>
        <w:t>,</w:t>
      </w:r>
      <w:r>
        <w:rPr>
          <w:rFonts w:ascii="Bookman Old Style" w:hAnsi="Bookman Old Style" w:cstheme="majorBidi"/>
          <w:sz w:val="28"/>
          <w:szCs w:val="28"/>
          <w:lang w:val="el-GR"/>
        </w:rPr>
        <w:t xml:space="preserve"> μετά την γέννηση της </w:t>
      </w:r>
      <w:r w:rsidR="00C843B5">
        <w:rPr>
          <w:rFonts w:ascii="Bookman Old Style" w:hAnsi="Bookman Old Style" w:cstheme="majorBidi"/>
          <w:sz w:val="28"/>
          <w:szCs w:val="28"/>
          <w:lang w:val="el-GR"/>
        </w:rPr>
        <w:t xml:space="preserve">ως άνω </w:t>
      </w:r>
      <w:r>
        <w:rPr>
          <w:rFonts w:ascii="Bookman Old Style" w:hAnsi="Bookman Old Style" w:cstheme="majorBidi"/>
          <w:sz w:val="28"/>
          <w:szCs w:val="28"/>
          <w:lang w:val="el-GR"/>
        </w:rPr>
        <w:t>ανήλικης</w:t>
      </w:r>
      <w:r w:rsidR="00C843B5">
        <w:rPr>
          <w:rFonts w:ascii="Bookman Old Style" w:hAnsi="Bookman Old Style" w:cstheme="majorBidi"/>
          <w:sz w:val="28"/>
          <w:szCs w:val="28"/>
          <w:lang w:val="el-GR"/>
        </w:rPr>
        <w:t>,</w:t>
      </w:r>
      <w:r>
        <w:rPr>
          <w:rFonts w:ascii="Bookman Old Style" w:hAnsi="Bookman Old Style" w:cstheme="majorBidi"/>
          <w:sz w:val="28"/>
          <w:szCs w:val="28"/>
          <w:lang w:val="el-GR"/>
        </w:rPr>
        <w:t xml:space="preserve"> εγκαταστάθηκε στις Ηνωμένες Πολιτείες Αμερικής</w:t>
      </w:r>
      <w:r w:rsidR="00C843B5">
        <w:rPr>
          <w:rFonts w:ascii="Bookman Old Style" w:hAnsi="Bookman Old Style" w:cstheme="majorBidi"/>
          <w:sz w:val="28"/>
          <w:szCs w:val="28"/>
          <w:lang w:val="el-GR"/>
        </w:rPr>
        <w:t>,</w:t>
      </w:r>
      <w:r>
        <w:rPr>
          <w:rFonts w:ascii="Bookman Old Style" w:hAnsi="Bookman Old Style" w:cstheme="majorBidi"/>
          <w:sz w:val="28"/>
          <w:szCs w:val="28"/>
          <w:lang w:val="el-GR"/>
        </w:rPr>
        <w:t xml:space="preserve"> χωρίς έκτοτε να έχει οποιαδήποτε επικοινωνία μαζί </w:t>
      </w:r>
      <w:r w:rsidR="00F92227">
        <w:rPr>
          <w:rFonts w:ascii="Bookman Old Style" w:hAnsi="Bookman Old Style" w:cstheme="majorBidi"/>
          <w:sz w:val="28"/>
          <w:szCs w:val="28"/>
          <w:lang w:val="el-GR"/>
        </w:rPr>
        <w:t>της.</w:t>
      </w:r>
      <w:r w:rsidRPr="004F72B4">
        <w:rPr>
          <w:rFonts w:ascii="Bookman Old Style" w:hAnsi="Bookman Old Style" w:cstheme="majorBidi"/>
          <w:sz w:val="28"/>
          <w:szCs w:val="28"/>
          <w:lang w:val="el-GR"/>
        </w:rPr>
        <w:t xml:space="preserve"> </w:t>
      </w:r>
      <w:r>
        <w:rPr>
          <w:rFonts w:ascii="Bookman Old Style" w:hAnsi="Bookman Old Style" w:cstheme="majorBidi"/>
          <w:sz w:val="28"/>
          <w:szCs w:val="28"/>
          <w:lang w:val="el-GR"/>
        </w:rPr>
        <w:t>Στις 10.10</w:t>
      </w:r>
      <w:r w:rsidR="00F92227">
        <w:rPr>
          <w:rFonts w:ascii="Bookman Old Style" w:hAnsi="Bookman Old Style" w:cstheme="majorBidi"/>
          <w:sz w:val="28"/>
          <w:szCs w:val="28"/>
          <w:lang w:val="el-GR"/>
        </w:rPr>
        <w:t>.</w:t>
      </w:r>
      <w:r>
        <w:rPr>
          <w:rFonts w:ascii="Bookman Old Style" w:hAnsi="Bookman Old Style" w:cstheme="majorBidi"/>
          <w:sz w:val="28"/>
          <w:szCs w:val="28"/>
          <w:lang w:val="el-GR"/>
        </w:rPr>
        <w:t xml:space="preserve">2018, το Οικογενειακό Δικαστήριο </w:t>
      </w:r>
      <w:r w:rsidR="00945866">
        <w:rPr>
          <w:rFonts w:ascii="Bookman Old Style" w:hAnsi="Bookman Old Style" w:cstheme="majorBidi"/>
          <w:sz w:val="28"/>
          <w:szCs w:val="28"/>
          <w:lang w:val="el-GR"/>
        </w:rPr>
        <w:t>Λευκωσίας</w:t>
      </w:r>
      <w:r>
        <w:rPr>
          <w:rFonts w:ascii="Bookman Old Style" w:hAnsi="Bookman Old Style" w:cstheme="majorBidi"/>
          <w:sz w:val="28"/>
          <w:szCs w:val="28"/>
          <w:lang w:val="el-GR"/>
        </w:rPr>
        <w:t xml:space="preserve"> εξέδωσε διάταγμα διατροφής με το οποίο ο ως άνω πατέρας της ανήλικης διατάσσεται να καταβάλλει στην </w:t>
      </w:r>
      <w:proofErr w:type="spellStart"/>
      <w:r>
        <w:rPr>
          <w:rFonts w:ascii="Bookman Old Style" w:hAnsi="Bookman Old Style" w:cstheme="majorBidi"/>
          <w:sz w:val="28"/>
          <w:szCs w:val="28"/>
          <w:lang w:val="el-GR"/>
        </w:rPr>
        <w:t>Αιτήτρια</w:t>
      </w:r>
      <w:proofErr w:type="spellEnd"/>
      <w:r>
        <w:rPr>
          <w:rFonts w:ascii="Bookman Old Style" w:hAnsi="Bookman Old Style" w:cstheme="majorBidi"/>
          <w:sz w:val="28"/>
          <w:szCs w:val="28"/>
          <w:lang w:val="el-GR"/>
        </w:rPr>
        <w:t xml:space="preserve"> το ποσό των €800</w:t>
      </w:r>
      <w:r w:rsidR="00941EF9">
        <w:rPr>
          <w:rFonts w:ascii="Bookman Old Style" w:hAnsi="Bookman Old Style" w:cstheme="majorBidi"/>
          <w:sz w:val="28"/>
          <w:szCs w:val="28"/>
          <w:lang w:val="el-GR"/>
        </w:rPr>
        <w:t xml:space="preserve"> μηνιαίως, από 1.7.2018, ως συνεισφορά για τη διατροφή της ανήλικης θυγατέρας του. Μέχρι σήμερα, ο πατέρας της </w:t>
      </w:r>
      <w:r w:rsidR="00E96C4B">
        <w:rPr>
          <w:rFonts w:ascii="Bookman Old Style" w:hAnsi="Bookman Old Style" w:cstheme="majorBidi"/>
          <w:sz w:val="28"/>
          <w:szCs w:val="28"/>
          <w:lang w:val="el-GR"/>
        </w:rPr>
        <w:t xml:space="preserve">ως άνω </w:t>
      </w:r>
      <w:r w:rsidR="00941EF9">
        <w:rPr>
          <w:rFonts w:ascii="Bookman Old Style" w:hAnsi="Bookman Old Style" w:cstheme="majorBidi"/>
          <w:sz w:val="28"/>
          <w:szCs w:val="28"/>
          <w:lang w:val="el-GR"/>
        </w:rPr>
        <w:t>ανήλικης δεν έχει καταβάλει οποιοδήποτε ποσό ως διατροφή. Στις 25.</w:t>
      </w:r>
      <w:r w:rsidR="003151A3" w:rsidRPr="005E59AD">
        <w:rPr>
          <w:rFonts w:ascii="Bookman Old Style" w:hAnsi="Bookman Old Style" w:cstheme="majorBidi"/>
          <w:sz w:val="28"/>
          <w:szCs w:val="28"/>
          <w:lang w:val="el-GR"/>
        </w:rPr>
        <w:t>0</w:t>
      </w:r>
      <w:r w:rsidR="00941EF9">
        <w:rPr>
          <w:rFonts w:ascii="Bookman Old Style" w:hAnsi="Bookman Old Style" w:cstheme="majorBidi"/>
          <w:sz w:val="28"/>
          <w:szCs w:val="28"/>
          <w:lang w:val="el-GR"/>
        </w:rPr>
        <w:t xml:space="preserve">7.2023, κατόπιν σχετικού αιτήματος της </w:t>
      </w:r>
      <w:proofErr w:type="spellStart"/>
      <w:r w:rsidR="00941EF9">
        <w:rPr>
          <w:rFonts w:ascii="Bookman Old Style" w:hAnsi="Bookman Old Style" w:cstheme="majorBidi"/>
          <w:sz w:val="28"/>
          <w:szCs w:val="28"/>
          <w:lang w:val="el-GR"/>
        </w:rPr>
        <w:t>Αιτήτριας</w:t>
      </w:r>
      <w:proofErr w:type="spellEnd"/>
      <w:r w:rsidR="00941EF9">
        <w:rPr>
          <w:rFonts w:ascii="Bookman Old Style" w:hAnsi="Bookman Old Style" w:cstheme="majorBidi"/>
          <w:sz w:val="28"/>
          <w:szCs w:val="28"/>
          <w:lang w:val="el-GR"/>
        </w:rPr>
        <w:t xml:space="preserve">, εκδόθηκε από το </w:t>
      </w:r>
      <w:bookmarkStart w:id="0" w:name="_Hlk163130017"/>
      <w:r w:rsidR="00941EF9">
        <w:rPr>
          <w:rFonts w:ascii="Bookman Old Style" w:hAnsi="Bookman Old Style" w:cstheme="majorBidi"/>
          <w:sz w:val="28"/>
          <w:szCs w:val="28"/>
          <w:lang w:val="el-GR"/>
        </w:rPr>
        <w:t>Οικογενειακό Δικαστήριο Λευκωσίας</w:t>
      </w:r>
      <w:bookmarkEnd w:id="0"/>
      <w:r w:rsidR="00941EF9">
        <w:rPr>
          <w:rFonts w:ascii="Bookman Old Style" w:hAnsi="Bookman Old Style" w:cstheme="majorBidi"/>
          <w:sz w:val="28"/>
          <w:szCs w:val="28"/>
          <w:lang w:val="el-GR"/>
        </w:rPr>
        <w:t xml:space="preserve"> διάταγμα με το οποίο </w:t>
      </w:r>
      <w:r w:rsidR="00941EF9">
        <w:rPr>
          <w:rFonts w:ascii="Bookman Old Style" w:hAnsi="Bookman Old Style" w:cstheme="majorBidi"/>
          <w:sz w:val="28"/>
          <w:szCs w:val="28"/>
          <w:lang w:val="el-GR"/>
        </w:rPr>
        <w:lastRenderedPageBreak/>
        <w:t xml:space="preserve">επιτράπηκε η επίδοση του πιο πάνω διατάγματος διατροφής στον πατέρα της ανήλικης, με την παράδοση του σχετικού διατάγματος από δικαστικό επιμελητή στην Ελλάδα, χώρα που η </w:t>
      </w:r>
      <w:proofErr w:type="spellStart"/>
      <w:r w:rsidR="00941EF9">
        <w:rPr>
          <w:rFonts w:ascii="Bookman Old Style" w:hAnsi="Bookman Old Style" w:cstheme="majorBidi"/>
          <w:sz w:val="28"/>
          <w:szCs w:val="28"/>
          <w:lang w:val="el-GR"/>
        </w:rPr>
        <w:t>Αιτήτρια</w:t>
      </w:r>
      <w:proofErr w:type="spellEnd"/>
      <w:r w:rsidR="00941EF9">
        <w:rPr>
          <w:rFonts w:ascii="Bookman Old Style" w:hAnsi="Bookman Old Style" w:cstheme="majorBidi"/>
          <w:sz w:val="28"/>
          <w:szCs w:val="28"/>
          <w:lang w:val="el-GR"/>
        </w:rPr>
        <w:t xml:space="preserve"> πληροφορήθηκε ότι ο ως άνω </w:t>
      </w:r>
      <w:bookmarkStart w:id="1" w:name="_Hlk163110434"/>
      <w:r w:rsidR="00E96C4B">
        <w:rPr>
          <w:rFonts w:ascii="Bookman Old Style" w:hAnsi="Bookman Old Style" w:cstheme="majorBidi"/>
          <w:sz w:val="28"/>
          <w:szCs w:val="28"/>
          <w:lang w:val="el-GR"/>
        </w:rPr>
        <w:t>Σ</w:t>
      </w:r>
      <w:r w:rsidR="00EF4944">
        <w:rPr>
          <w:rFonts w:ascii="Bookman Old Style" w:hAnsi="Bookman Old Style" w:cstheme="majorBidi"/>
          <w:sz w:val="28"/>
          <w:szCs w:val="28"/>
          <w:lang w:val="el-GR"/>
        </w:rPr>
        <w:t>.</w:t>
      </w:r>
      <w:r w:rsidR="00E96C4B">
        <w:rPr>
          <w:rFonts w:ascii="Bookman Old Style" w:hAnsi="Bookman Old Style" w:cstheme="majorBidi"/>
          <w:sz w:val="28"/>
          <w:szCs w:val="28"/>
          <w:lang w:val="el-GR"/>
        </w:rPr>
        <w:t xml:space="preserve"> Ξ</w:t>
      </w:r>
      <w:bookmarkEnd w:id="1"/>
      <w:r w:rsidR="00EF4944">
        <w:rPr>
          <w:rFonts w:ascii="Bookman Old Style" w:hAnsi="Bookman Old Style" w:cstheme="majorBidi"/>
          <w:sz w:val="28"/>
          <w:szCs w:val="28"/>
          <w:lang w:val="el-GR"/>
        </w:rPr>
        <w:t>.</w:t>
      </w:r>
      <w:r w:rsidR="00E96C4B">
        <w:rPr>
          <w:rFonts w:ascii="Bookman Old Style" w:hAnsi="Bookman Old Style" w:cstheme="majorBidi"/>
          <w:sz w:val="28"/>
          <w:szCs w:val="28"/>
          <w:lang w:val="el-GR"/>
        </w:rPr>
        <w:t xml:space="preserve"> </w:t>
      </w:r>
      <w:r w:rsidR="00941EF9">
        <w:rPr>
          <w:rFonts w:ascii="Bookman Old Style" w:hAnsi="Bookman Old Style" w:cstheme="majorBidi"/>
          <w:sz w:val="28"/>
          <w:szCs w:val="28"/>
          <w:lang w:val="el-GR"/>
        </w:rPr>
        <w:t>διαμένει μόνιμα. Τούτο και έγινε. Με δεδομένο ότι στις 31.</w:t>
      </w:r>
      <w:r w:rsidR="00E96C4B">
        <w:rPr>
          <w:rFonts w:ascii="Bookman Old Style" w:hAnsi="Bookman Old Style" w:cstheme="majorBidi"/>
          <w:sz w:val="28"/>
          <w:szCs w:val="28"/>
          <w:lang w:val="el-GR"/>
        </w:rPr>
        <w:t>0</w:t>
      </w:r>
      <w:r w:rsidR="00941EF9">
        <w:rPr>
          <w:rFonts w:ascii="Bookman Old Style" w:hAnsi="Bookman Old Style" w:cstheme="majorBidi"/>
          <w:sz w:val="28"/>
          <w:szCs w:val="28"/>
          <w:lang w:val="el-GR"/>
        </w:rPr>
        <w:t xml:space="preserve">7.2023 επιδόθηκαν στον πατέρα της ανήλικης το ως άνω διάταγμα διατροφής, μαζί με άλλα έγγραφα της διαδικασίας, η </w:t>
      </w:r>
      <w:proofErr w:type="spellStart"/>
      <w:r w:rsidR="00941EF9">
        <w:rPr>
          <w:rFonts w:ascii="Bookman Old Style" w:hAnsi="Bookman Old Style" w:cstheme="majorBidi"/>
          <w:sz w:val="28"/>
          <w:szCs w:val="28"/>
          <w:lang w:val="el-GR"/>
        </w:rPr>
        <w:t>Αιτήτρια</w:t>
      </w:r>
      <w:proofErr w:type="spellEnd"/>
      <w:r w:rsidR="00941EF9">
        <w:rPr>
          <w:rFonts w:ascii="Bookman Old Style" w:hAnsi="Bookman Old Style" w:cstheme="majorBidi"/>
          <w:sz w:val="28"/>
          <w:szCs w:val="28"/>
          <w:lang w:val="el-GR"/>
        </w:rPr>
        <w:t>, στις 11.</w:t>
      </w:r>
      <w:r w:rsidR="00E96C4B">
        <w:rPr>
          <w:rFonts w:ascii="Bookman Old Style" w:hAnsi="Bookman Old Style" w:cstheme="majorBidi"/>
          <w:sz w:val="28"/>
          <w:szCs w:val="28"/>
          <w:lang w:val="el-GR"/>
        </w:rPr>
        <w:t>0</w:t>
      </w:r>
      <w:r w:rsidR="00941EF9">
        <w:rPr>
          <w:rFonts w:ascii="Bookman Old Style" w:hAnsi="Bookman Old Style" w:cstheme="majorBidi"/>
          <w:sz w:val="28"/>
          <w:szCs w:val="28"/>
          <w:lang w:val="el-GR"/>
        </w:rPr>
        <w:t>9.2023</w:t>
      </w:r>
      <w:r w:rsidR="00E96C4B">
        <w:rPr>
          <w:rFonts w:ascii="Bookman Old Style" w:hAnsi="Bookman Old Style" w:cstheme="majorBidi"/>
          <w:sz w:val="28"/>
          <w:szCs w:val="28"/>
          <w:lang w:val="el-GR"/>
        </w:rPr>
        <w:t>,</w:t>
      </w:r>
      <w:r w:rsidR="00941EF9">
        <w:rPr>
          <w:rFonts w:ascii="Bookman Old Style" w:hAnsi="Bookman Old Style" w:cstheme="majorBidi"/>
          <w:sz w:val="28"/>
          <w:szCs w:val="28"/>
          <w:lang w:val="el-GR"/>
        </w:rPr>
        <w:t xml:space="preserve"> καταχώρησε ένορκη δήλωση για έκδοση εντάλματος φυλάκισης εναντίον του πατέρα της ανήλικης για καθυστερημένες δόσεις</w:t>
      </w:r>
      <w:r w:rsidR="005E59AD" w:rsidRPr="005E59AD">
        <w:rPr>
          <w:rFonts w:ascii="Bookman Old Style" w:hAnsi="Bookman Old Style" w:cstheme="majorBidi"/>
          <w:sz w:val="28"/>
          <w:szCs w:val="28"/>
          <w:lang w:val="el-GR"/>
        </w:rPr>
        <w:t xml:space="preserve">, </w:t>
      </w:r>
      <w:r w:rsidR="005E59AD">
        <w:rPr>
          <w:rFonts w:ascii="Bookman Old Style" w:hAnsi="Bookman Old Style" w:cstheme="majorBidi"/>
          <w:sz w:val="28"/>
          <w:szCs w:val="28"/>
          <w:lang w:val="el-GR"/>
        </w:rPr>
        <w:t xml:space="preserve">ως οι πρόνοιες του άρθρου </w:t>
      </w:r>
      <w:r w:rsidR="005E59AD" w:rsidRPr="005E59AD">
        <w:rPr>
          <w:rFonts w:ascii="Bookman Old Style" w:hAnsi="Bookman Old Style" w:cstheme="majorBidi"/>
          <w:sz w:val="28"/>
          <w:szCs w:val="28"/>
          <w:lang w:val="el-GR"/>
        </w:rPr>
        <w:t>124</w:t>
      </w:r>
      <w:r w:rsidR="005E59AD">
        <w:rPr>
          <w:rFonts w:ascii="Bookman Old Style" w:hAnsi="Bookman Old Style" w:cstheme="majorBidi"/>
          <w:sz w:val="28"/>
          <w:szCs w:val="28"/>
        </w:rPr>
        <w:t>A</w:t>
      </w:r>
      <w:r w:rsidR="005E59AD">
        <w:rPr>
          <w:rFonts w:ascii="Bookman Old Style" w:hAnsi="Bookman Old Style" w:cstheme="majorBidi"/>
          <w:sz w:val="28"/>
          <w:szCs w:val="28"/>
          <w:lang w:val="el-GR"/>
        </w:rPr>
        <w:t xml:space="preserve"> του Περί Ποινικής </w:t>
      </w:r>
      <w:r w:rsidR="00CD2A97">
        <w:rPr>
          <w:rFonts w:ascii="Bookman Old Style" w:hAnsi="Bookman Old Style" w:cstheme="majorBidi"/>
          <w:sz w:val="28"/>
          <w:szCs w:val="28"/>
          <w:lang w:val="el-GR"/>
        </w:rPr>
        <w:t>Δικονομίας</w:t>
      </w:r>
      <w:r w:rsidR="005E59AD">
        <w:rPr>
          <w:rFonts w:ascii="Bookman Old Style" w:hAnsi="Bookman Old Style" w:cstheme="majorBidi"/>
          <w:sz w:val="28"/>
          <w:szCs w:val="28"/>
          <w:lang w:val="el-GR"/>
        </w:rPr>
        <w:t xml:space="preserve"> Νόμου, Κεφ. 155. </w:t>
      </w:r>
      <w:r w:rsidR="00941EF9">
        <w:rPr>
          <w:rFonts w:ascii="Bookman Old Style" w:hAnsi="Bookman Old Style" w:cstheme="majorBidi"/>
          <w:sz w:val="28"/>
          <w:szCs w:val="28"/>
          <w:lang w:val="el-GR"/>
        </w:rPr>
        <w:t xml:space="preserve">Το </w:t>
      </w:r>
      <w:r w:rsidR="00CD2A97">
        <w:rPr>
          <w:rFonts w:ascii="Bookman Old Style" w:hAnsi="Bookman Old Style" w:cstheme="majorBidi"/>
          <w:sz w:val="28"/>
          <w:szCs w:val="28"/>
          <w:lang w:val="el-GR"/>
        </w:rPr>
        <w:t xml:space="preserve">Οικογενειακό Δικαστήριο Λευκωσίας, (στο εξής το </w:t>
      </w:r>
      <w:r w:rsidR="00941EF9">
        <w:rPr>
          <w:rFonts w:ascii="Bookman Old Style" w:hAnsi="Bookman Old Style" w:cstheme="majorBidi"/>
          <w:sz w:val="28"/>
          <w:szCs w:val="28"/>
          <w:lang w:val="el-GR"/>
        </w:rPr>
        <w:t>κατώτερο Δικαστήριο</w:t>
      </w:r>
      <w:r w:rsidR="00CD2A97">
        <w:rPr>
          <w:rFonts w:ascii="Bookman Old Style" w:hAnsi="Bookman Old Style" w:cstheme="majorBidi"/>
          <w:sz w:val="28"/>
          <w:szCs w:val="28"/>
          <w:lang w:val="el-GR"/>
        </w:rPr>
        <w:t>)</w:t>
      </w:r>
      <w:r w:rsidR="00941EF9">
        <w:rPr>
          <w:rFonts w:ascii="Bookman Old Style" w:hAnsi="Bookman Old Style" w:cstheme="majorBidi"/>
          <w:sz w:val="28"/>
          <w:szCs w:val="28"/>
          <w:lang w:val="el-GR"/>
        </w:rPr>
        <w:t xml:space="preserve"> ως </w:t>
      </w:r>
      <w:proofErr w:type="spellStart"/>
      <w:r w:rsidR="00941EF9">
        <w:rPr>
          <w:rFonts w:ascii="Bookman Old Style" w:hAnsi="Bookman Old Style" w:cstheme="majorBidi"/>
          <w:sz w:val="28"/>
          <w:szCs w:val="28"/>
          <w:lang w:val="el-GR"/>
        </w:rPr>
        <w:t>εμφαίνεται</w:t>
      </w:r>
      <w:proofErr w:type="spellEnd"/>
      <w:r w:rsidR="00941EF9">
        <w:rPr>
          <w:rFonts w:ascii="Bookman Old Style" w:hAnsi="Bookman Old Style" w:cstheme="majorBidi"/>
          <w:sz w:val="28"/>
          <w:szCs w:val="28"/>
          <w:lang w:val="el-GR"/>
        </w:rPr>
        <w:t xml:space="preserve"> μέσω του πρακτικού </w:t>
      </w:r>
      <w:r w:rsidR="00CD2A97">
        <w:rPr>
          <w:rFonts w:ascii="Bookman Old Style" w:hAnsi="Bookman Old Style" w:cstheme="majorBidi"/>
          <w:sz w:val="28"/>
          <w:szCs w:val="28"/>
          <w:lang w:val="el-GR"/>
        </w:rPr>
        <w:t xml:space="preserve">του, </w:t>
      </w:r>
      <w:r w:rsidR="00941EF9">
        <w:rPr>
          <w:rFonts w:ascii="Bookman Old Style" w:hAnsi="Bookman Old Style" w:cstheme="majorBidi"/>
          <w:sz w:val="28"/>
          <w:szCs w:val="28"/>
          <w:lang w:val="el-GR"/>
        </w:rPr>
        <w:t>ημερομηνίας 27.</w:t>
      </w:r>
      <w:r w:rsidR="00E96C4B">
        <w:rPr>
          <w:rFonts w:ascii="Bookman Old Style" w:hAnsi="Bookman Old Style" w:cstheme="majorBidi"/>
          <w:sz w:val="28"/>
          <w:szCs w:val="28"/>
          <w:lang w:val="el-GR"/>
        </w:rPr>
        <w:t>0</w:t>
      </w:r>
      <w:r w:rsidR="00941EF9">
        <w:rPr>
          <w:rFonts w:ascii="Bookman Old Style" w:hAnsi="Bookman Old Style" w:cstheme="majorBidi"/>
          <w:sz w:val="28"/>
          <w:szCs w:val="28"/>
          <w:lang w:val="el-GR"/>
        </w:rPr>
        <w:t xml:space="preserve">9.2023, αρνήθηκε να καλέσει γραπτώς τον πατέρα της ανήλικης να εμφανιστεί </w:t>
      </w:r>
      <w:r w:rsidR="00E96C4B">
        <w:rPr>
          <w:rFonts w:ascii="Bookman Old Style" w:hAnsi="Bookman Old Style" w:cstheme="majorBidi"/>
          <w:sz w:val="28"/>
          <w:szCs w:val="28"/>
          <w:lang w:val="el-GR"/>
        </w:rPr>
        <w:t>ενώπιον</w:t>
      </w:r>
      <w:r w:rsidR="00941EF9">
        <w:rPr>
          <w:rFonts w:ascii="Bookman Old Style" w:hAnsi="Bookman Old Style" w:cstheme="majorBidi"/>
          <w:sz w:val="28"/>
          <w:szCs w:val="28"/>
          <w:lang w:val="el-GR"/>
        </w:rPr>
        <w:t xml:space="preserve"> του κατά την καθοριζόμενη ημερομηνία στην κλήση για φυλάκιση λόγω παράλειψης πληρωμής διατροφής</w:t>
      </w:r>
      <w:r w:rsidR="00C61B19">
        <w:rPr>
          <w:rFonts w:ascii="Bookman Old Style" w:hAnsi="Bookman Old Style" w:cstheme="majorBidi"/>
          <w:sz w:val="28"/>
          <w:szCs w:val="28"/>
          <w:lang w:val="el-GR"/>
        </w:rPr>
        <w:t xml:space="preserve">. Υπέδειξε, επί τούτου, </w:t>
      </w:r>
      <w:r w:rsidR="00941EF9">
        <w:rPr>
          <w:rFonts w:ascii="Bookman Old Style" w:hAnsi="Bookman Old Style" w:cstheme="majorBidi"/>
          <w:sz w:val="28"/>
          <w:szCs w:val="28"/>
          <w:lang w:val="el-GR"/>
        </w:rPr>
        <w:t>ότι:</w:t>
      </w:r>
    </w:p>
    <w:p w14:paraId="6FFE73DA" w14:textId="0D8574AF" w:rsidR="00941EF9" w:rsidRDefault="00941EF9" w:rsidP="00945866">
      <w:pPr>
        <w:tabs>
          <w:tab w:val="left" w:pos="567"/>
        </w:tabs>
        <w:spacing w:before="240"/>
        <w:ind w:left="567"/>
        <w:jc w:val="both"/>
        <w:rPr>
          <w:rFonts w:ascii="Bookman Old Style" w:hAnsi="Bookman Old Style" w:cstheme="majorBidi"/>
          <w:i/>
          <w:iCs/>
          <w:sz w:val="28"/>
          <w:szCs w:val="28"/>
          <w:lang w:val="el-GR"/>
        </w:rPr>
      </w:pPr>
      <w:r w:rsidRPr="00945866">
        <w:rPr>
          <w:rFonts w:ascii="Bookman Old Style" w:hAnsi="Bookman Old Style" w:cstheme="majorBidi"/>
          <w:i/>
          <w:iCs/>
          <w:sz w:val="28"/>
          <w:szCs w:val="28"/>
          <w:lang w:val="el-GR"/>
        </w:rPr>
        <w:t xml:space="preserve">«Σε περίπτωση που ο τόπος διαμονής του Καθ’ ου η Αίτηση είναι στην Ελλάδα ή σε άλλο κράτος/μέλος της Ευρωπαϊκής Ένωσης, η </w:t>
      </w:r>
      <w:proofErr w:type="spellStart"/>
      <w:r w:rsidRPr="00945866">
        <w:rPr>
          <w:rFonts w:ascii="Bookman Old Style" w:hAnsi="Bookman Old Style" w:cstheme="majorBidi"/>
          <w:i/>
          <w:iCs/>
          <w:sz w:val="28"/>
          <w:szCs w:val="28"/>
          <w:lang w:val="el-GR"/>
        </w:rPr>
        <w:t>Αιτήτρια</w:t>
      </w:r>
      <w:proofErr w:type="spellEnd"/>
      <w:r w:rsidRPr="00945866">
        <w:rPr>
          <w:rFonts w:ascii="Bookman Old Style" w:hAnsi="Bookman Old Style" w:cstheme="majorBidi"/>
          <w:i/>
          <w:iCs/>
          <w:sz w:val="28"/>
          <w:szCs w:val="28"/>
          <w:lang w:val="el-GR"/>
        </w:rPr>
        <w:t xml:space="preserve"> θα πρέπει να ακολουθήσει τη διαδικασία του Ευρωπαϊκού Κανονισμού (ΕΚ) 4/2009».</w:t>
      </w:r>
    </w:p>
    <w:p w14:paraId="7116AA05" w14:textId="77777777" w:rsidR="00945866" w:rsidRPr="00945866" w:rsidRDefault="00945866" w:rsidP="00945866">
      <w:pPr>
        <w:tabs>
          <w:tab w:val="left" w:pos="567"/>
        </w:tabs>
        <w:ind w:left="567"/>
        <w:jc w:val="both"/>
        <w:rPr>
          <w:rFonts w:ascii="Bookman Old Style" w:hAnsi="Bookman Old Style" w:cstheme="majorBidi"/>
          <w:i/>
          <w:iCs/>
          <w:sz w:val="28"/>
          <w:szCs w:val="28"/>
          <w:lang w:val="el-GR"/>
        </w:rPr>
      </w:pPr>
    </w:p>
    <w:p w14:paraId="543435C9" w14:textId="36E6BFD1" w:rsidR="00941EF9" w:rsidRDefault="00941EF9" w:rsidP="00945866">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Παρεμβάλλεται ότι η υπό συζήτηση αίτηση, ως οι οδηγίες του Δικαστηρίου</w:t>
      </w:r>
      <w:r w:rsidR="00C61B19">
        <w:rPr>
          <w:rFonts w:ascii="Bookman Old Style" w:hAnsi="Bookman Old Style" w:cstheme="majorBidi"/>
          <w:sz w:val="28"/>
          <w:szCs w:val="28"/>
          <w:lang w:val="el-GR"/>
        </w:rPr>
        <w:t>,</w:t>
      </w:r>
      <w:r>
        <w:rPr>
          <w:rFonts w:ascii="Bookman Old Style" w:hAnsi="Bookman Old Style" w:cstheme="majorBidi"/>
          <w:sz w:val="28"/>
          <w:szCs w:val="28"/>
          <w:lang w:val="el-GR"/>
        </w:rPr>
        <w:t xml:space="preserve"> επιδόθηκε</w:t>
      </w:r>
      <w:r w:rsidR="00F348E6">
        <w:rPr>
          <w:rFonts w:ascii="Bookman Old Style" w:hAnsi="Bookman Old Style" w:cstheme="majorBidi"/>
          <w:sz w:val="28"/>
          <w:szCs w:val="28"/>
          <w:lang w:val="el-GR"/>
        </w:rPr>
        <w:t xml:space="preserve">, πέραν από την πλευρά του καθ’ ου η </w:t>
      </w:r>
      <w:r w:rsidR="00F348E6">
        <w:rPr>
          <w:rFonts w:ascii="Bookman Old Style" w:hAnsi="Bookman Old Style" w:cstheme="majorBidi"/>
          <w:sz w:val="28"/>
          <w:szCs w:val="28"/>
          <w:lang w:val="el-GR"/>
        </w:rPr>
        <w:lastRenderedPageBreak/>
        <w:t>αίτηση</w:t>
      </w:r>
      <w:r w:rsidR="00674436">
        <w:rPr>
          <w:rFonts w:ascii="Bookman Old Style" w:hAnsi="Bookman Old Style" w:cstheme="majorBidi"/>
          <w:sz w:val="28"/>
          <w:szCs w:val="28"/>
          <w:lang w:val="el-GR"/>
        </w:rPr>
        <w:t>,</w:t>
      </w:r>
      <w:r w:rsidR="00F348E6">
        <w:rPr>
          <w:rFonts w:ascii="Bookman Old Style" w:hAnsi="Bookman Old Style" w:cstheme="majorBidi"/>
          <w:sz w:val="28"/>
          <w:szCs w:val="28"/>
          <w:lang w:val="el-GR"/>
        </w:rPr>
        <w:t xml:space="preserve"> Σ</w:t>
      </w:r>
      <w:r w:rsidR="00EF4944">
        <w:rPr>
          <w:rFonts w:ascii="Bookman Old Style" w:hAnsi="Bookman Old Style" w:cstheme="majorBidi"/>
          <w:sz w:val="28"/>
          <w:szCs w:val="28"/>
          <w:lang w:val="el-GR"/>
        </w:rPr>
        <w:t>.</w:t>
      </w:r>
      <w:r w:rsidR="00F348E6">
        <w:rPr>
          <w:rFonts w:ascii="Bookman Old Style" w:hAnsi="Bookman Old Style" w:cstheme="majorBidi"/>
          <w:sz w:val="28"/>
          <w:szCs w:val="28"/>
          <w:lang w:val="el-GR"/>
        </w:rPr>
        <w:t xml:space="preserve"> Ξ</w:t>
      </w:r>
      <w:r w:rsidR="00EF4944">
        <w:rPr>
          <w:rFonts w:ascii="Bookman Old Style" w:hAnsi="Bookman Old Style" w:cstheme="majorBidi"/>
          <w:sz w:val="28"/>
          <w:szCs w:val="28"/>
          <w:lang w:val="el-GR"/>
        </w:rPr>
        <w:t>.</w:t>
      </w:r>
      <w:r w:rsidR="009E203B">
        <w:rPr>
          <w:rFonts w:ascii="Bookman Old Style" w:hAnsi="Bookman Old Style" w:cstheme="majorBidi"/>
          <w:sz w:val="28"/>
          <w:szCs w:val="28"/>
          <w:lang w:val="el-GR"/>
        </w:rPr>
        <w:t xml:space="preserve"> (ο οποίος στο μεταξύ εμφανίστηκε </w:t>
      </w:r>
      <w:r w:rsidR="00433C34">
        <w:rPr>
          <w:rFonts w:ascii="Bookman Old Style" w:hAnsi="Bookman Old Style" w:cstheme="majorBidi"/>
          <w:sz w:val="28"/>
          <w:szCs w:val="28"/>
          <w:lang w:val="el-GR"/>
        </w:rPr>
        <w:t xml:space="preserve">στο </w:t>
      </w:r>
      <w:r w:rsidR="009E203B">
        <w:rPr>
          <w:rFonts w:ascii="Bookman Old Style" w:hAnsi="Bookman Old Style" w:cstheme="majorBidi"/>
          <w:sz w:val="28"/>
          <w:szCs w:val="28"/>
          <w:lang w:val="el-GR"/>
        </w:rPr>
        <w:t xml:space="preserve">κατώτερο </w:t>
      </w:r>
      <w:r w:rsidR="00433C34">
        <w:rPr>
          <w:rFonts w:ascii="Bookman Old Style" w:hAnsi="Bookman Old Style" w:cstheme="majorBidi"/>
          <w:sz w:val="28"/>
          <w:szCs w:val="28"/>
          <w:lang w:val="el-GR"/>
        </w:rPr>
        <w:t xml:space="preserve">Δικαστήριο </w:t>
      </w:r>
      <w:r w:rsidR="009E203B">
        <w:rPr>
          <w:rFonts w:ascii="Bookman Old Style" w:hAnsi="Bookman Old Style" w:cstheme="majorBidi"/>
          <w:sz w:val="28"/>
          <w:szCs w:val="28"/>
          <w:lang w:val="el-GR"/>
        </w:rPr>
        <w:t>προωθώντας αίτηση παραμερισμού του διατάγματος διατροφής</w:t>
      </w:r>
      <w:r w:rsidR="00433C34">
        <w:rPr>
          <w:rFonts w:ascii="Bookman Old Style" w:hAnsi="Bookman Old Style" w:cstheme="majorBidi"/>
          <w:sz w:val="28"/>
          <w:szCs w:val="28"/>
          <w:lang w:val="el-GR"/>
        </w:rPr>
        <w:t>,</w:t>
      </w:r>
      <w:r w:rsidR="009E203B">
        <w:rPr>
          <w:rFonts w:ascii="Bookman Old Style" w:hAnsi="Bookman Old Style" w:cstheme="majorBidi"/>
          <w:sz w:val="28"/>
          <w:szCs w:val="28"/>
          <w:lang w:val="el-GR"/>
        </w:rPr>
        <w:t xml:space="preserve"> </w:t>
      </w:r>
      <w:proofErr w:type="spellStart"/>
      <w:r w:rsidR="009E203B">
        <w:rPr>
          <w:rFonts w:ascii="Bookman Old Style" w:hAnsi="Bookman Old Style" w:cstheme="majorBidi"/>
          <w:sz w:val="28"/>
          <w:szCs w:val="28"/>
          <w:lang w:val="el-GR"/>
        </w:rPr>
        <w:t>ημερ</w:t>
      </w:r>
      <w:proofErr w:type="spellEnd"/>
      <w:r w:rsidR="009E203B">
        <w:rPr>
          <w:rFonts w:ascii="Bookman Old Style" w:hAnsi="Bookman Old Style" w:cstheme="majorBidi"/>
          <w:sz w:val="28"/>
          <w:szCs w:val="28"/>
          <w:lang w:val="el-GR"/>
        </w:rPr>
        <w:t>. 10.10.2018 και της υποκατάστατης επίδοσης του</w:t>
      </w:r>
      <w:r w:rsidR="00433C34">
        <w:rPr>
          <w:rFonts w:ascii="Bookman Old Style" w:hAnsi="Bookman Old Style" w:cstheme="majorBidi"/>
          <w:sz w:val="28"/>
          <w:szCs w:val="28"/>
          <w:lang w:val="el-GR"/>
        </w:rPr>
        <w:t>)</w:t>
      </w:r>
      <w:r w:rsidR="009E203B">
        <w:rPr>
          <w:rFonts w:ascii="Bookman Old Style" w:hAnsi="Bookman Old Style" w:cstheme="majorBidi"/>
          <w:sz w:val="28"/>
          <w:szCs w:val="28"/>
          <w:lang w:val="el-GR"/>
        </w:rPr>
        <w:t xml:space="preserve"> </w:t>
      </w:r>
      <w:r w:rsidR="00C61B19">
        <w:rPr>
          <w:rFonts w:ascii="Bookman Old Style" w:hAnsi="Bookman Old Style" w:cstheme="majorBidi"/>
          <w:sz w:val="28"/>
          <w:szCs w:val="28"/>
          <w:lang w:val="el-GR"/>
        </w:rPr>
        <w:t>και στο γραφείο του έντιμου Γενικού Εισαγγελέα της Δημοκρατίας</w:t>
      </w:r>
      <w:r w:rsidR="00674436">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Ο τελευταίος δεν εμφανίστηκε στη διαδικασία ενώ ο </w:t>
      </w:r>
      <w:proofErr w:type="spellStart"/>
      <w:r>
        <w:rPr>
          <w:rFonts w:ascii="Bookman Old Style" w:hAnsi="Bookman Old Style" w:cstheme="majorBidi"/>
          <w:sz w:val="28"/>
          <w:szCs w:val="28"/>
          <w:lang w:val="el-GR"/>
        </w:rPr>
        <w:t>ευπαίδευτος</w:t>
      </w:r>
      <w:proofErr w:type="spellEnd"/>
      <w:r>
        <w:rPr>
          <w:rFonts w:ascii="Bookman Old Style" w:hAnsi="Bookman Old Style" w:cstheme="majorBidi"/>
          <w:sz w:val="28"/>
          <w:szCs w:val="28"/>
          <w:lang w:val="el-GR"/>
        </w:rPr>
        <w:t xml:space="preserve"> συνήγορος που ως δήλωσε εκπροσωπεί τον ως άνω Σ</w:t>
      </w:r>
      <w:r w:rsidR="00EF4944">
        <w:rPr>
          <w:rFonts w:ascii="Bookman Old Style" w:hAnsi="Bookman Old Style" w:cstheme="majorBidi"/>
          <w:sz w:val="28"/>
          <w:szCs w:val="28"/>
          <w:lang w:val="el-GR"/>
        </w:rPr>
        <w:t>.</w:t>
      </w:r>
      <w:r w:rsidR="00674436">
        <w:rPr>
          <w:rFonts w:ascii="Bookman Old Style" w:hAnsi="Bookman Old Style" w:cstheme="majorBidi"/>
          <w:sz w:val="28"/>
          <w:szCs w:val="28"/>
          <w:lang w:val="el-GR"/>
        </w:rPr>
        <w:t xml:space="preserve"> </w:t>
      </w:r>
      <w:r>
        <w:rPr>
          <w:rFonts w:ascii="Bookman Old Style" w:hAnsi="Bookman Old Style" w:cstheme="majorBidi"/>
          <w:sz w:val="28"/>
          <w:szCs w:val="28"/>
          <w:lang w:val="el-GR"/>
        </w:rPr>
        <w:t>Ξ</w:t>
      </w:r>
      <w:r w:rsidR="00EF4944">
        <w:rPr>
          <w:rFonts w:ascii="Bookman Old Style" w:hAnsi="Bookman Old Style" w:cstheme="majorBidi"/>
          <w:sz w:val="28"/>
          <w:szCs w:val="28"/>
          <w:lang w:val="el-GR"/>
        </w:rPr>
        <w:t>.</w:t>
      </w:r>
      <w:r w:rsidR="00674436">
        <w:rPr>
          <w:rFonts w:ascii="Bookman Old Style" w:hAnsi="Bookman Old Style" w:cstheme="majorBidi"/>
          <w:sz w:val="28"/>
          <w:szCs w:val="28"/>
          <w:lang w:val="el-GR"/>
        </w:rPr>
        <w:t xml:space="preserve">, παρά το γεγονός ότι ζήτησε και του δόθηκε χρόνος  για καταχώρηση ένστασης, </w:t>
      </w:r>
      <w:r w:rsidR="00CD2A97">
        <w:rPr>
          <w:rFonts w:ascii="Bookman Old Style" w:hAnsi="Bookman Old Style" w:cstheme="majorBidi"/>
          <w:sz w:val="28"/>
          <w:szCs w:val="28"/>
          <w:lang w:val="el-GR"/>
        </w:rPr>
        <w:t>τελικά περιορίστηκε να προβάλει τις θέσεις του μέσω εισήγησης</w:t>
      </w:r>
      <w:r w:rsidR="00433C34">
        <w:rPr>
          <w:rFonts w:ascii="Bookman Old Style" w:hAnsi="Bookman Old Style" w:cstheme="majorBidi"/>
          <w:sz w:val="28"/>
          <w:szCs w:val="28"/>
          <w:lang w:val="el-GR"/>
        </w:rPr>
        <w:t>.</w:t>
      </w:r>
    </w:p>
    <w:p w14:paraId="411C27E0" w14:textId="504CFE0E" w:rsidR="00941EF9" w:rsidRDefault="00941EF9" w:rsidP="00E37088">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EF5AAE">
        <w:rPr>
          <w:rFonts w:ascii="Bookman Old Style" w:hAnsi="Bookman Old Style" w:cstheme="majorBidi"/>
          <w:sz w:val="28"/>
          <w:szCs w:val="28"/>
          <w:lang w:val="el-GR"/>
        </w:rPr>
        <w:t xml:space="preserve">Το Κατώτερο Δικαστήριο, υπέδειξε ο </w:t>
      </w:r>
      <w:r w:rsidR="00433C34">
        <w:rPr>
          <w:rFonts w:ascii="Bookman Old Style" w:hAnsi="Bookman Old Style" w:cstheme="majorBidi"/>
          <w:sz w:val="28"/>
          <w:szCs w:val="28"/>
          <w:lang w:val="el-GR"/>
        </w:rPr>
        <w:t>πιο πάνω συνήγορος</w:t>
      </w:r>
      <w:r w:rsidR="00EF5AAE">
        <w:rPr>
          <w:rFonts w:ascii="Bookman Old Style" w:hAnsi="Bookman Old Style" w:cstheme="majorBidi"/>
          <w:sz w:val="28"/>
          <w:szCs w:val="28"/>
          <w:lang w:val="el-GR"/>
        </w:rPr>
        <w:t>, δεν είχε ενώπι</w:t>
      </w:r>
      <w:r w:rsidR="00E37088">
        <w:rPr>
          <w:rFonts w:ascii="Bookman Old Style" w:hAnsi="Bookman Old Style" w:cstheme="majorBidi"/>
          <w:sz w:val="28"/>
          <w:szCs w:val="28"/>
          <w:lang w:val="el-GR"/>
        </w:rPr>
        <w:t>ο</w:t>
      </w:r>
      <w:r w:rsidR="00EF5AAE">
        <w:rPr>
          <w:rFonts w:ascii="Bookman Old Style" w:hAnsi="Bookman Old Style" w:cstheme="majorBidi"/>
          <w:sz w:val="28"/>
          <w:szCs w:val="28"/>
          <w:lang w:val="el-GR"/>
        </w:rPr>
        <w:t xml:space="preserve">ν του οποιαδήποτε αίτηση. Η καταχώρηση σχετικής ένορκης δήλωσης </w:t>
      </w:r>
      <w:r w:rsidR="00433C34">
        <w:rPr>
          <w:rFonts w:ascii="Bookman Old Style" w:hAnsi="Bookman Old Style" w:cstheme="majorBidi"/>
          <w:sz w:val="28"/>
          <w:szCs w:val="28"/>
          <w:lang w:val="el-GR"/>
        </w:rPr>
        <w:t xml:space="preserve">εκ μέρους της </w:t>
      </w:r>
      <w:proofErr w:type="spellStart"/>
      <w:r w:rsidR="00433C34">
        <w:rPr>
          <w:rFonts w:ascii="Bookman Old Style" w:hAnsi="Bookman Old Style" w:cstheme="majorBidi"/>
          <w:sz w:val="28"/>
          <w:szCs w:val="28"/>
          <w:lang w:val="el-GR"/>
        </w:rPr>
        <w:t>αιτήτριας</w:t>
      </w:r>
      <w:proofErr w:type="spellEnd"/>
      <w:r w:rsidR="00433C34">
        <w:rPr>
          <w:rFonts w:ascii="Bookman Old Style" w:hAnsi="Bookman Old Style" w:cstheme="majorBidi"/>
          <w:sz w:val="28"/>
          <w:szCs w:val="28"/>
          <w:lang w:val="el-GR"/>
        </w:rPr>
        <w:t xml:space="preserve">, </w:t>
      </w:r>
      <w:r w:rsidR="00EF5AAE">
        <w:rPr>
          <w:rFonts w:ascii="Bookman Old Style" w:hAnsi="Bookman Old Style" w:cstheme="majorBidi"/>
          <w:sz w:val="28"/>
          <w:szCs w:val="28"/>
          <w:lang w:val="el-GR"/>
        </w:rPr>
        <w:t xml:space="preserve">ως η πρόνοιες του άρθρου 124Α του Κεφ. 155, έγινε στον αρμόδιο Πρωτοκολλητή, ο οποίος   </w:t>
      </w:r>
      <w:r w:rsidR="00490592">
        <w:rPr>
          <w:rFonts w:ascii="Bookman Old Style" w:hAnsi="Bookman Old Style" w:cstheme="majorBidi"/>
          <w:sz w:val="28"/>
          <w:szCs w:val="28"/>
          <w:lang w:val="el-GR"/>
        </w:rPr>
        <w:t>έκρινε</w:t>
      </w:r>
      <w:r w:rsidR="00DC3EB5">
        <w:rPr>
          <w:rFonts w:ascii="Bookman Old Style" w:hAnsi="Bookman Old Style" w:cstheme="majorBidi"/>
          <w:sz w:val="28"/>
          <w:szCs w:val="28"/>
          <w:lang w:val="el-GR"/>
        </w:rPr>
        <w:t xml:space="preserve">, ενόψει των ειδικότερων περιστατικών της υπόθεσης, </w:t>
      </w:r>
      <w:r w:rsidR="00490592">
        <w:rPr>
          <w:rFonts w:ascii="Bookman Old Style" w:hAnsi="Bookman Old Style" w:cstheme="majorBidi"/>
          <w:sz w:val="28"/>
          <w:szCs w:val="28"/>
          <w:lang w:val="el-GR"/>
        </w:rPr>
        <w:t xml:space="preserve">πως θα έπρεπε να </w:t>
      </w:r>
      <w:r w:rsidR="00DC3EB5">
        <w:rPr>
          <w:rFonts w:ascii="Bookman Old Style" w:hAnsi="Bookman Old Style" w:cstheme="majorBidi"/>
          <w:sz w:val="28"/>
          <w:szCs w:val="28"/>
          <w:lang w:val="el-GR"/>
        </w:rPr>
        <w:t xml:space="preserve">ζητηθούν οι οδηγίες </w:t>
      </w:r>
      <w:r>
        <w:rPr>
          <w:rFonts w:ascii="Bookman Old Style" w:hAnsi="Bookman Old Style" w:cstheme="majorBidi"/>
          <w:sz w:val="28"/>
          <w:szCs w:val="28"/>
          <w:lang w:val="el-GR"/>
        </w:rPr>
        <w:t>του Δικαστηρίου επί του ζητήματος</w:t>
      </w:r>
      <w:r w:rsidR="00490592">
        <w:rPr>
          <w:rFonts w:ascii="Bookman Old Style" w:hAnsi="Bookman Old Style" w:cstheme="majorBidi"/>
          <w:sz w:val="28"/>
          <w:szCs w:val="28"/>
          <w:lang w:val="el-GR"/>
        </w:rPr>
        <w:t xml:space="preserve">. Στην </w:t>
      </w:r>
      <w:r w:rsidR="00552DC4">
        <w:rPr>
          <w:rFonts w:ascii="Bookman Old Style" w:hAnsi="Bookman Old Style" w:cstheme="majorBidi"/>
          <w:sz w:val="28"/>
          <w:szCs w:val="28"/>
          <w:lang w:val="el-GR"/>
        </w:rPr>
        <w:t>υπό</w:t>
      </w:r>
      <w:r w:rsidR="00490592">
        <w:rPr>
          <w:rFonts w:ascii="Bookman Old Style" w:hAnsi="Bookman Old Style" w:cstheme="majorBidi"/>
          <w:sz w:val="28"/>
          <w:szCs w:val="28"/>
          <w:lang w:val="el-GR"/>
        </w:rPr>
        <w:t xml:space="preserve"> συζήτηση περίπτωση, συμπλήρωσε, </w:t>
      </w:r>
      <w:r w:rsidR="00DC3EB5">
        <w:rPr>
          <w:rFonts w:ascii="Bookman Old Style" w:hAnsi="Bookman Old Style" w:cstheme="majorBidi"/>
          <w:sz w:val="28"/>
          <w:szCs w:val="28"/>
          <w:lang w:val="el-GR"/>
        </w:rPr>
        <w:t xml:space="preserve">η </w:t>
      </w:r>
      <w:proofErr w:type="spellStart"/>
      <w:r w:rsidR="00DC3EB5">
        <w:rPr>
          <w:rFonts w:ascii="Bookman Old Style" w:hAnsi="Bookman Old Style" w:cstheme="majorBidi"/>
          <w:sz w:val="28"/>
          <w:szCs w:val="28"/>
          <w:lang w:val="el-GR"/>
        </w:rPr>
        <w:t>αιτήτρια</w:t>
      </w:r>
      <w:proofErr w:type="spellEnd"/>
      <w:r w:rsidR="00DC3EB5">
        <w:rPr>
          <w:rFonts w:ascii="Bookman Old Style" w:hAnsi="Bookman Old Style" w:cstheme="majorBidi"/>
          <w:sz w:val="28"/>
          <w:szCs w:val="28"/>
          <w:lang w:val="el-GR"/>
        </w:rPr>
        <w:t xml:space="preserve"> ή ο </w:t>
      </w:r>
      <w:r w:rsidR="00490592">
        <w:rPr>
          <w:rFonts w:ascii="Bookman Old Style" w:hAnsi="Bookman Old Style" w:cstheme="majorBidi"/>
          <w:sz w:val="28"/>
          <w:szCs w:val="28"/>
          <w:lang w:val="el-GR"/>
        </w:rPr>
        <w:t>δικηγόρος της δεν θα μπορούσ</w:t>
      </w:r>
      <w:r w:rsidR="00DC3EB5">
        <w:rPr>
          <w:rFonts w:ascii="Bookman Old Style" w:hAnsi="Bookman Old Style" w:cstheme="majorBidi"/>
          <w:sz w:val="28"/>
          <w:szCs w:val="28"/>
          <w:lang w:val="el-GR"/>
        </w:rPr>
        <w:t xml:space="preserve">αν </w:t>
      </w:r>
      <w:r w:rsidR="00490592">
        <w:rPr>
          <w:rFonts w:ascii="Bookman Old Style" w:hAnsi="Bookman Old Style" w:cstheme="majorBidi"/>
          <w:sz w:val="28"/>
          <w:szCs w:val="28"/>
          <w:lang w:val="el-GR"/>
        </w:rPr>
        <w:t xml:space="preserve">να </w:t>
      </w:r>
      <w:r w:rsidR="00DC3EB5">
        <w:rPr>
          <w:rFonts w:ascii="Bookman Old Style" w:hAnsi="Bookman Old Style" w:cstheme="majorBidi"/>
          <w:sz w:val="28"/>
          <w:szCs w:val="28"/>
          <w:lang w:val="el-GR"/>
        </w:rPr>
        <w:t xml:space="preserve">ακουστούν από το κατώτερο Δικαστήριο. Άλλωστε συμπλήρωσε, </w:t>
      </w:r>
      <w:r w:rsidR="00736D67">
        <w:rPr>
          <w:rFonts w:ascii="Bookman Old Style" w:hAnsi="Bookman Old Style" w:cstheme="majorBidi"/>
          <w:sz w:val="28"/>
          <w:szCs w:val="28"/>
          <w:lang w:val="el-GR"/>
        </w:rPr>
        <w:t xml:space="preserve">δεν </w:t>
      </w:r>
      <w:r w:rsidR="00DC3EB5">
        <w:rPr>
          <w:rFonts w:ascii="Bookman Old Style" w:hAnsi="Bookman Old Style" w:cstheme="majorBidi"/>
          <w:sz w:val="28"/>
          <w:szCs w:val="28"/>
          <w:lang w:val="el-GR"/>
        </w:rPr>
        <w:t xml:space="preserve">υπήρξε τέτοιο αίτημα από την πλευρά της </w:t>
      </w:r>
      <w:proofErr w:type="spellStart"/>
      <w:r w:rsidR="00736D67">
        <w:rPr>
          <w:rFonts w:ascii="Bookman Old Style" w:hAnsi="Bookman Old Style" w:cstheme="majorBidi"/>
          <w:sz w:val="28"/>
          <w:szCs w:val="28"/>
          <w:lang w:val="el-GR"/>
        </w:rPr>
        <w:t>Α</w:t>
      </w:r>
      <w:r w:rsidR="00DC3EB5">
        <w:rPr>
          <w:rFonts w:ascii="Bookman Old Style" w:hAnsi="Bookman Old Style" w:cstheme="majorBidi"/>
          <w:sz w:val="28"/>
          <w:szCs w:val="28"/>
          <w:lang w:val="el-GR"/>
        </w:rPr>
        <w:t>ιτήτριας</w:t>
      </w:r>
      <w:proofErr w:type="spellEnd"/>
      <w:r w:rsidR="00DC3EB5">
        <w:rPr>
          <w:rFonts w:ascii="Bookman Old Style" w:hAnsi="Bookman Old Style" w:cstheme="majorBidi"/>
          <w:sz w:val="28"/>
          <w:szCs w:val="28"/>
          <w:lang w:val="el-GR"/>
        </w:rPr>
        <w:t xml:space="preserve">.  </w:t>
      </w:r>
    </w:p>
    <w:p w14:paraId="1FB7B8A4" w14:textId="52AEDF01" w:rsidR="00941EF9" w:rsidRDefault="00941EF9" w:rsidP="00E37088">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736D67">
        <w:rPr>
          <w:rFonts w:ascii="Bookman Old Style" w:hAnsi="Bookman Old Style" w:cstheme="majorBidi"/>
          <w:sz w:val="28"/>
          <w:szCs w:val="28"/>
          <w:lang w:val="el-GR"/>
        </w:rPr>
        <w:t>Α</w:t>
      </w:r>
      <w:r>
        <w:rPr>
          <w:rFonts w:ascii="Bookman Old Style" w:hAnsi="Bookman Old Style" w:cstheme="majorBidi"/>
          <w:sz w:val="28"/>
          <w:szCs w:val="28"/>
          <w:lang w:val="el-GR"/>
        </w:rPr>
        <w:t xml:space="preserve">ιτία της άρνησης του </w:t>
      </w:r>
      <w:proofErr w:type="spellStart"/>
      <w:r>
        <w:rPr>
          <w:rFonts w:ascii="Bookman Old Style" w:hAnsi="Bookman Old Style" w:cstheme="majorBidi"/>
          <w:sz w:val="28"/>
          <w:szCs w:val="28"/>
          <w:lang w:val="el-GR"/>
        </w:rPr>
        <w:t>Πρωτοκολλητείο</w:t>
      </w:r>
      <w:r w:rsidR="00736D67">
        <w:rPr>
          <w:rFonts w:ascii="Bookman Old Style" w:hAnsi="Bookman Old Style" w:cstheme="majorBidi"/>
          <w:sz w:val="28"/>
          <w:szCs w:val="28"/>
          <w:lang w:val="el-GR"/>
        </w:rPr>
        <w:t>υ</w:t>
      </w:r>
      <w:proofErr w:type="spellEnd"/>
      <w:r>
        <w:rPr>
          <w:rFonts w:ascii="Bookman Old Style" w:hAnsi="Bookman Old Style" w:cstheme="majorBidi"/>
          <w:sz w:val="28"/>
          <w:szCs w:val="28"/>
          <w:lang w:val="el-GR"/>
        </w:rPr>
        <w:t xml:space="preserve"> να προχωρήσει και να αποστείλει στον Καθ’ ου η Αίτηση τη σχετική ειδοποίηση που προβλέπεται στο άρθρο 124</w:t>
      </w:r>
      <w:r w:rsidR="00736D67">
        <w:rPr>
          <w:rFonts w:ascii="Bookman Old Style" w:hAnsi="Bookman Old Style" w:cstheme="majorBidi"/>
          <w:sz w:val="28"/>
          <w:szCs w:val="28"/>
          <w:lang w:val="el-GR"/>
        </w:rPr>
        <w:t>Α</w:t>
      </w:r>
      <w:r>
        <w:rPr>
          <w:rFonts w:ascii="Bookman Old Style" w:hAnsi="Bookman Old Style" w:cstheme="majorBidi"/>
          <w:sz w:val="28"/>
          <w:szCs w:val="28"/>
          <w:lang w:val="el-GR"/>
        </w:rPr>
        <w:t xml:space="preserve"> του περί Ποινικής Δικονομίας Νόμου</w:t>
      </w:r>
      <w:r w:rsidR="00736D67">
        <w:rPr>
          <w:rFonts w:ascii="Bookman Old Style" w:hAnsi="Bookman Old Style" w:cstheme="majorBidi"/>
          <w:sz w:val="28"/>
          <w:szCs w:val="28"/>
          <w:lang w:val="el-GR"/>
        </w:rPr>
        <w:t xml:space="preserve">, </w:t>
      </w:r>
      <w:r w:rsidR="00736D67">
        <w:rPr>
          <w:rFonts w:ascii="Bookman Old Style" w:hAnsi="Bookman Old Style" w:cstheme="majorBidi"/>
          <w:sz w:val="28"/>
          <w:szCs w:val="28"/>
          <w:lang w:val="el-GR"/>
        </w:rPr>
        <w:lastRenderedPageBreak/>
        <w:t xml:space="preserve">Κεφ.155, υπέδειξε ο </w:t>
      </w:r>
      <w:proofErr w:type="spellStart"/>
      <w:r w:rsidR="00736D67">
        <w:rPr>
          <w:rFonts w:ascii="Bookman Old Style" w:hAnsi="Bookman Old Style" w:cstheme="majorBidi"/>
          <w:sz w:val="28"/>
          <w:szCs w:val="28"/>
          <w:lang w:val="el-GR"/>
        </w:rPr>
        <w:t>ευπαίδευτος</w:t>
      </w:r>
      <w:proofErr w:type="spellEnd"/>
      <w:r w:rsidR="00736D67">
        <w:rPr>
          <w:rFonts w:ascii="Bookman Old Style" w:hAnsi="Bookman Old Style" w:cstheme="majorBidi"/>
          <w:sz w:val="28"/>
          <w:szCs w:val="28"/>
          <w:lang w:val="el-GR"/>
        </w:rPr>
        <w:t xml:space="preserve"> συνήγορος της </w:t>
      </w:r>
      <w:proofErr w:type="spellStart"/>
      <w:r w:rsidR="00736D67">
        <w:rPr>
          <w:rFonts w:ascii="Bookman Old Style" w:hAnsi="Bookman Old Style" w:cstheme="majorBidi"/>
          <w:sz w:val="28"/>
          <w:szCs w:val="28"/>
          <w:lang w:val="el-GR"/>
        </w:rPr>
        <w:t>Αιτήτριας</w:t>
      </w:r>
      <w:proofErr w:type="spellEnd"/>
      <w:r w:rsidR="00736D67">
        <w:rPr>
          <w:rFonts w:ascii="Bookman Old Style" w:hAnsi="Bookman Old Style" w:cstheme="majorBidi"/>
          <w:sz w:val="28"/>
          <w:szCs w:val="28"/>
          <w:lang w:val="el-GR"/>
        </w:rPr>
        <w:t xml:space="preserve">, </w:t>
      </w:r>
      <w:r>
        <w:rPr>
          <w:rFonts w:ascii="Bookman Old Style" w:hAnsi="Bookman Old Style" w:cstheme="majorBidi"/>
          <w:sz w:val="28"/>
          <w:szCs w:val="28"/>
          <w:lang w:val="el-GR"/>
        </w:rPr>
        <w:t>ήταν οι οδηγίες/τοποθέτηση του Δικαστηρίου επί του ζητήματος</w:t>
      </w:r>
      <w:r w:rsidR="00736D67">
        <w:rPr>
          <w:rFonts w:ascii="Bookman Old Style" w:hAnsi="Bookman Old Style" w:cstheme="majorBidi"/>
          <w:sz w:val="28"/>
          <w:szCs w:val="28"/>
          <w:lang w:val="el-GR"/>
        </w:rPr>
        <w:t xml:space="preserve">, ότι δηλαδή </w:t>
      </w:r>
      <w:r>
        <w:rPr>
          <w:rFonts w:ascii="Bookman Old Style" w:hAnsi="Bookman Old Style" w:cstheme="majorBidi"/>
          <w:sz w:val="28"/>
          <w:szCs w:val="28"/>
          <w:lang w:val="el-GR"/>
        </w:rPr>
        <w:t xml:space="preserve"> αυτό δεν είναι δυνατό</w:t>
      </w:r>
      <w:r w:rsidR="00736D67">
        <w:rPr>
          <w:rFonts w:ascii="Bookman Old Style" w:hAnsi="Bookman Old Style" w:cstheme="majorBidi"/>
          <w:sz w:val="28"/>
          <w:szCs w:val="28"/>
          <w:lang w:val="el-GR"/>
        </w:rPr>
        <w:t>,</w:t>
      </w:r>
      <w:r>
        <w:rPr>
          <w:rFonts w:ascii="Bookman Old Style" w:hAnsi="Bookman Old Style" w:cstheme="majorBidi"/>
          <w:sz w:val="28"/>
          <w:szCs w:val="28"/>
          <w:lang w:val="el-GR"/>
        </w:rPr>
        <w:t xml:space="preserve"> αφού ο Καθ’ ου η Αίτηση διαμένει στην Ελλάδα, υποδεικνύοντας ταυτόχρονα ότι </w:t>
      </w:r>
      <w:r w:rsidR="002D5A80">
        <w:rPr>
          <w:rFonts w:ascii="Bookman Old Style" w:hAnsi="Bookman Old Style" w:cstheme="majorBidi"/>
          <w:sz w:val="28"/>
          <w:szCs w:val="28"/>
          <w:lang w:val="el-GR"/>
        </w:rPr>
        <w:t>σε μια τέτοια περίπτωση θα πρέπει να εφαρμοστεί ο Ευρωπαϊκός Κανονισμός (ΕΚ) 4/2009. Πέρα</w:t>
      </w:r>
      <w:r w:rsidR="004D19EE">
        <w:rPr>
          <w:rFonts w:ascii="Bookman Old Style" w:hAnsi="Bookman Old Style" w:cstheme="majorBidi"/>
          <w:sz w:val="28"/>
          <w:szCs w:val="28"/>
          <w:lang w:val="el-GR"/>
        </w:rPr>
        <w:t>ν</w:t>
      </w:r>
      <w:r w:rsidR="002D5A80">
        <w:rPr>
          <w:rFonts w:ascii="Bookman Old Style" w:hAnsi="Bookman Old Style" w:cstheme="majorBidi"/>
          <w:sz w:val="28"/>
          <w:szCs w:val="28"/>
          <w:lang w:val="el-GR"/>
        </w:rPr>
        <w:t xml:space="preserve"> </w:t>
      </w:r>
      <w:r w:rsidR="004D19EE">
        <w:rPr>
          <w:rFonts w:ascii="Bookman Old Style" w:hAnsi="Bookman Old Style" w:cstheme="majorBidi"/>
          <w:sz w:val="28"/>
          <w:szCs w:val="28"/>
          <w:lang w:val="el-GR"/>
        </w:rPr>
        <w:t xml:space="preserve">της διαφωνίας </w:t>
      </w:r>
      <w:r w:rsidR="002D5A80">
        <w:rPr>
          <w:rFonts w:ascii="Bookman Old Style" w:hAnsi="Bookman Old Style" w:cstheme="majorBidi"/>
          <w:sz w:val="28"/>
          <w:szCs w:val="28"/>
          <w:lang w:val="el-GR"/>
        </w:rPr>
        <w:t xml:space="preserve">του </w:t>
      </w:r>
      <w:proofErr w:type="spellStart"/>
      <w:r w:rsidR="002D5A80">
        <w:rPr>
          <w:rFonts w:ascii="Bookman Old Style" w:hAnsi="Bookman Old Style" w:cstheme="majorBidi"/>
          <w:sz w:val="28"/>
          <w:szCs w:val="28"/>
          <w:lang w:val="el-GR"/>
        </w:rPr>
        <w:t>ευπαίδευτου</w:t>
      </w:r>
      <w:proofErr w:type="spellEnd"/>
      <w:r w:rsidR="002D5A80">
        <w:rPr>
          <w:rFonts w:ascii="Bookman Old Style" w:hAnsi="Bookman Old Style" w:cstheme="majorBidi"/>
          <w:sz w:val="28"/>
          <w:szCs w:val="28"/>
          <w:lang w:val="el-GR"/>
        </w:rPr>
        <w:t xml:space="preserve"> συνηγόρου ως προς την ουσιαστική πτυχή της </w:t>
      </w:r>
      <w:r w:rsidR="004D19EE">
        <w:rPr>
          <w:rFonts w:ascii="Bookman Old Style" w:hAnsi="Bookman Old Style" w:cstheme="majorBidi"/>
          <w:sz w:val="28"/>
          <w:szCs w:val="28"/>
          <w:lang w:val="el-GR"/>
        </w:rPr>
        <w:t xml:space="preserve">ως άνω </w:t>
      </w:r>
      <w:r w:rsidR="002D5A80">
        <w:rPr>
          <w:rFonts w:ascii="Bookman Old Style" w:hAnsi="Bookman Old Style" w:cstheme="majorBidi"/>
          <w:sz w:val="28"/>
          <w:szCs w:val="28"/>
          <w:lang w:val="el-GR"/>
        </w:rPr>
        <w:t xml:space="preserve">τοποθέτησης του Δικαστηρίου </w:t>
      </w:r>
      <w:r w:rsidR="00B54070">
        <w:rPr>
          <w:rFonts w:ascii="Bookman Old Style" w:hAnsi="Bookman Old Style" w:cstheme="majorBidi"/>
          <w:sz w:val="28"/>
          <w:szCs w:val="28"/>
          <w:lang w:val="el-GR"/>
        </w:rPr>
        <w:t xml:space="preserve">και την </w:t>
      </w:r>
      <w:r w:rsidR="002D5A80">
        <w:rPr>
          <w:rFonts w:ascii="Bookman Old Style" w:hAnsi="Bookman Old Style" w:cstheme="majorBidi"/>
          <w:sz w:val="28"/>
          <w:szCs w:val="28"/>
          <w:lang w:val="el-GR"/>
        </w:rPr>
        <w:t xml:space="preserve">αναγκαιότητα εφαρμογής </w:t>
      </w:r>
      <w:r w:rsidR="004D19EE">
        <w:rPr>
          <w:rFonts w:ascii="Bookman Old Style" w:hAnsi="Bookman Old Style" w:cstheme="majorBidi"/>
          <w:sz w:val="28"/>
          <w:szCs w:val="28"/>
          <w:lang w:val="el-GR"/>
        </w:rPr>
        <w:t xml:space="preserve">στην </w:t>
      </w:r>
      <w:proofErr w:type="spellStart"/>
      <w:r w:rsidR="004D19EE">
        <w:rPr>
          <w:rFonts w:ascii="Bookman Old Style" w:hAnsi="Bookman Old Style" w:cstheme="majorBidi"/>
          <w:sz w:val="28"/>
          <w:szCs w:val="28"/>
          <w:lang w:val="el-GR"/>
        </w:rPr>
        <w:t>υπο</w:t>
      </w:r>
      <w:proofErr w:type="spellEnd"/>
      <w:r w:rsidR="004D19EE">
        <w:rPr>
          <w:rFonts w:ascii="Bookman Old Style" w:hAnsi="Bookman Old Style" w:cstheme="majorBidi"/>
          <w:sz w:val="28"/>
          <w:szCs w:val="28"/>
          <w:lang w:val="el-GR"/>
        </w:rPr>
        <w:t xml:space="preserve"> συζήτηση περίπτωση </w:t>
      </w:r>
      <w:r w:rsidR="002D5A80">
        <w:rPr>
          <w:rFonts w:ascii="Bookman Old Style" w:hAnsi="Bookman Old Style" w:cstheme="majorBidi"/>
          <w:sz w:val="28"/>
          <w:szCs w:val="28"/>
          <w:lang w:val="el-GR"/>
        </w:rPr>
        <w:t>του πιο πάνω Ευρωπαϊκού Κανονισμού</w:t>
      </w:r>
      <w:r w:rsidR="004D19EE">
        <w:rPr>
          <w:rFonts w:ascii="Bookman Old Style" w:hAnsi="Bookman Old Style" w:cstheme="majorBidi"/>
          <w:sz w:val="28"/>
          <w:szCs w:val="28"/>
          <w:lang w:val="el-GR"/>
        </w:rPr>
        <w:t>,</w:t>
      </w:r>
      <w:r w:rsidR="002D5A80">
        <w:rPr>
          <w:rFonts w:ascii="Bookman Old Style" w:hAnsi="Bookman Old Style" w:cstheme="majorBidi"/>
          <w:sz w:val="28"/>
          <w:szCs w:val="28"/>
          <w:lang w:val="el-GR"/>
        </w:rPr>
        <w:t xml:space="preserve"> </w:t>
      </w:r>
      <w:r w:rsidR="004D19EE">
        <w:rPr>
          <w:rFonts w:ascii="Bookman Old Style" w:hAnsi="Bookman Old Style" w:cstheme="majorBidi"/>
          <w:sz w:val="28"/>
          <w:szCs w:val="28"/>
          <w:lang w:val="el-GR"/>
        </w:rPr>
        <w:t xml:space="preserve">υποστήριξε </w:t>
      </w:r>
      <w:r w:rsidR="002D5A80">
        <w:rPr>
          <w:rFonts w:ascii="Bookman Old Style" w:hAnsi="Bookman Old Style" w:cstheme="majorBidi"/>
          <w:sz w:val="28"/>
          <w:szCs w:val="28"/>
          <w:lang w:val="el-GR"/>
        </w:rPr>
        <w:t xml:space="preserve">πως το γεγονός ότι δεν δόθηκε η ευκαιρία στην πλευρά της </w:t>
      </w:r>
      <w:proofErr w:type="spellStart"/>
      <w:r w:rsidR="002D5A80">
        <w:rPr>
          <w:rFonts w:ascii="Bookman Old Style" w:hAnsi="Bookman Old Style" w:cstheme="majorBidi"/>
          <w:sz w:val="28"/>
          <w:szCs w:val="28"/>
          <w:lang w:val="el-GR"/>
        </w:rPr>
        <w:t>Αιτήτριας</w:t>
      </w:r>
      <w:proofErr w:type="spellEnd"/>
      <w:r w:rsidR="002D5A80">
        <w:rPr>
          <w:rFonts w:ascii="Bookman Old Style" w:hAnsi="Bookman Old Style" w:cstheme="majorBidi"/>
          <w:sz w:val="28"/>
          <w:szCs w:val="28"/>
          <w:lang w:val="el-GR"/>
        </w:rPr>
        <w:t xml:space="preserve"> να προβάλει </w:t>
      </w:r>
      <w:r w:rsidR="004D19EE">
        <w:rPr>
          <w:rFonts w:ascii="Bookman Old Style" w:hAnsi="Bookman Old Style" w:cstheme="majorBidi"/>
          <w:sz w:val="28"/>
          <w:szCs w:val="28"/>
          <w:lang w:val="el-GR"/>
        </w:rPr>
        <w:t xml:space="preserve">τουλάχιστον </w:t>
      </w:r>
      <w:r w:rsidR="002D5A80">
        <w:rPr>
          <w:rFonts w:ascii="Bookman Old Style" w:hAnsi="Bookman Old Style" w:cstheme="majorBidi"/>
          <w:sz w:val="28"/>
          <w:szCs w:val="28"/>
          <w:lang w:val="el-GR"/>
        </w:rPr>
        <w:t xml:space="preserve">τις θέσεις της πριν </w:t>
      </w:r>
      <w:r w:rsidR="004D19EE">
        <w:rPr>
          <w:rFonts w:ascii="Bookman Old Style" w:hAnsi="Bookman Old Style" w:cstheme="majorBidi"/>
          <w:sz w:val="28"/>
          <w:szCs w:val="28"/>
          <w:lang w:val="el-GR"/>
        </w:rPr>
        <w:t xml:space="preserve">αποφασιστεί κατά τον πιο πάνω τρόπο </w:t>
      </w:r>
      <w:r w:rsidR="002D5A80">
        <w:rPr>
          <w:rFonts w:ascii="Bookman Old Style" w:hAnsi="Bookman Old Style" w:cstheme="majorBidi"/>
          <w:sz w:val="28"/>
          <w:szCs w:val="28"/>
          <w:lang w:val="el-GR"/>
        </w:rPr>
        <w:t xml:space="preserve">η τύχη του αιτήματος </w:t>
      </w:r>
      <w:r w:rsidR="004D19EE">
        <w:rPr>
          <w:rFonts w:ascii="Bookman Old Style" w:hAnsi="Bookman Old Style" w:cstheme="majorBidi"/>
          <w:sz w:val="28"/>
          <w:szCs w:val="28"/>
          <w:lang w:val="el-GR"/>
        </w:rPr>
        <w:t>της,</w:t>
      </w:r>
      <w:r w:rsidR="002D5A80">
        <w:rPr>
          <w:rFonts w:ascii="Bookman Old Style" w:hAnsi="Bookman Old Style" w:cstheme="majorBidi"/>
          <w:sz w:val="28"/>
          <w:szCs w:val="28"/>
          <w:lang w:val="el-GR"/>
        </w:rPr>
        <w:t xml:space="preserve"> </w:t>
      </w:r>
      <w:r w:rsidR="00B54070">
        <w:rPr>
          <w:rFonts w:ascii="Bookman Old Style" w:hAnsi="Bookman Old Style" w:cstheme="majorBidi"/>
          <w:sz w:val="28"/>
          <w:szCs w:val="28"/>
          <w:lang w:val="el-GR"/>
        </w:rPr>
        <w:t xml:space="preserve">ουσιαστικά </w:t>
      </w:r>
      <w:r w:rsidR="004D19EE">
        <w:rPr>
          <w:rFonts w:ascii="Bookman Old Style" w:hAnsi="Bookman Old Style" w:cstheme="majorBidi"/>
          <w:sz w:val="28"/>
          <w:szCs w:val="28"/>
          <w:lang w:val="el-GR"/>
        </w:rPr>
        <w:t xml:space="preserve">έπληξε </w:t>
      </w:r>
      <w:r w:rsidR="002D5A80">
        <w:rPr>
          <w:rFonts w:ascii="Bookman Old Style" w:hAnsi="Bookman Old Style" w:cstheme="majorBidi"/>
          <w:sz w:val="28"/>
          <w:szCs w:val="28"/>
          <w:lang w:val="el-GR"/>
        </w:rPr>
        <w:t>τους κανόνες της φυσικής δικαιοσύνης</w:t>
      </w:r>
      <w:r w:rsidR="00C80201">
        <w:rPr>
          <w:rFonts w:ascii="Bookman Old Style" w:hAnsi="Bookman Old Style" w:cstheme="majorBidi"/>
          <w:sz w:val="28"/>
          <w:szCs w:val="28"/>
          <w:lang w:val="el-GR"/>
        </w:rPr>
        <w:t>,</w:t>
      </w:r>
      <w:r w:rsidR="002D5A80">
        <w:rPr>
          <w:rFonts w:ascii="Bookman Old Style" w:hAnsi="Bookman Old Style" w:cstheme="majorBidi"/>
          <w:sz w:val="28"/>
          <w:szCs w:val="28"/>
          <w:lang w:val="el-GR"/>
        </w:rPr>
        <w:t xml:space="preserve"> κατά τρόπο που επιβάλλεται η παρέμβαση του παρόντος Δικαστηρίου μέσω της προνομιακής δικαιοδοσίας του.</w:t>
      </w:r>
    </w:p>
    <w:p w14:paraId="2B32A1A3" w14:textId="77777777" w:rsidR="00A128F3" w:rsidRDefault="002D5A80" w:rsidP="00E37088">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hAnsi="Bookman Old Style" w:cstheme="majorBidi"/>
          <w:sz w:val="28"/>
          <w:szCs w:val="28"/>
          <w:lang w:val="el-GR"/>
        </w:rPr>
        <w:tab/>
      </w:r>
      <w:r>
        <w:rPr>
          <w:rFonts w:ascii="Bookman Old Style" w:hAnsi="Bookman Old Style"/>
          <w:color w:val="000000"/>
          <w:sz w:val="28"/>
          <w:szCs w:val="28"/>
          <w:lang w:val="el-GR"/>
        </w:rPr>
        <w:t xml:space="preserve">Η διαχρονική </w:t>
      </w:r>
      <w:r>
        <w:rPr>
          <w:rFonts w:ascii="Bookman Old Style" w:hAnsi="Bookman Old Style"/>
          <w:sz w:val="28"/>
          <w:szCs w:val="28"/>
          <w:lang w:val="el-GR"/>
        </w:rPr>
        <w:t xml:space="preserve">και καλά εδραιωμένη νομολογία των Δικαστηρίων μας, καταδεικνύει ότι τα Προνομιακά Εντάλματα, ως κατάλοιπο της εξουσίας του Ανωτάτου Δικαστηρίου για έλεγχο των κατώτερων Δικαστηρίων, χορηγούνται κατ’ εξαίρεση. Πρόκειται για δικαιοδοσία που ασκείται με ιδιαίτερη φειδώ. Παρέχεται κατά προνόμιο, όπου από το πρακτικό του Κατώτερου Δικαστηρίου διαφαίνεται έλλειψη ή υπέρβαση δικαιοδοσίας, έκδηλη νομική πλάνη, δόλος, </w:t>
      </w:r>
      <w:r>
        <w:rPr>
          <w:rFonts w:ascii="Bookman Old Style" w:hAnsi="Bookman Old Style"/>
          <w:sz w:val="28"/>
          <w:szCs w:val="28"/>
          <w:lang w:val="el-GR"/>
        </w:rPr>
        <w:lastRenderedPageBreak/>
        <w:t>προκατάληψη ή μη τήρηση των κανόνων της φυσικής δικαιοσύνης (βλ. Σύγγραμμα Π. Αρτέμη «</w:t>
      </w:r>
      <w:r w:rsidRPr="00F10E07">
        <w:rPr>
          <w:rFonts w:ascii="Bookman Old Style" w:hAnsi="Bookman Old Style"/>
          <w:b/>
          <w:bCs/>
          <w:sz w:val="28"/>
          <w:szCs w:val="28"/>
          <w:lang w:val="el-GR"/>
        </w:rPr>
        <w:t>Προνομιακά Εντάλματα, Αρχές και Υποθέσεις</w:t>
      </w:r>
      <w:r>
        <w:rPr>
          <w:rFonts w:ascii="Bookman Old Style" w:hAnsi="Bookman Old Style"/>
          <w:sz w:val="28"/>
          <w:szCs w:val="28"/>
          <w:lang w:val="el-GR"/>
        </w:rPr>
        <w:t xml:space="preserve">», σελ. 109 κ.ε., </w:t>
      </w:r>
      <w:bookmarkStart w:id="2" w:name="_Hlk157078116"/>
      <w:r>
        <w:rPr>
          <w:rFonts w:ascii="Bookman Old Style" w:hAnsi="Bookman Old Style"/>
          <w:b/>
          <w:bCs/>
          <w:i/>
          <w:iCs/>
          <w:sz w:val="28"/>
          <w:szCs w:val="28"/>
          <w:lang w:val="el-GR"/>
        </w:rPr>
        <w:t xml:space="preserve">Αναφορικά με την Αίτηση του </w:t>
      </w:r>
      <w:bookmarkEnd w:id="2"/>
      <w:r>
        <w:rPr>
          <w:rFonts w:ascii="Bookman Old Style" w:hAnsi="Bookman Old Style"/>
          <w:b/>
          <w:bCs/>
          <w:i/>
          <w:iCs/>
          <w:sz w:val="28"/>
          <w:szCs w:val="28"/>
          <w:lang w:val="el-GR"/>
        </w:rPr>
        <w:t>Α. Κωνσταντινίδη (2003) 1(Β) Α.Α.Δ. 1298</w:t>
      </w:r>
      <w:r>
        <w:rPr>
          <w:rFonts w:ascii="Bookman Old Style" w:hAnsi="Bookman Old Style"/>
          <w:sz w:val="28"/>
          <w:szCs w:val="28"/>
          <w:lang w:val="el-GR"/>
        </w:rPr>
        <w:t xml:space="preserve">). Παρεμβάλλεται πως η </w:t>
      </w:r>
      <w:r w:rsidRPr="0053721D">
        <w:rPr>
          <w:rFonts w:ascii="Bookman Old Style" w:eastAsia="Times New Roman" w:hAnsi="Bookman Old Style"/>
          <w:color w:val="000000"/>
          <w:sz w:val="28"/>
          <w:szCs w:val="28"/>
          <w:lang w:val="el-GR"/>
        </w:rPr>
        <w:t>εξουσία του Δικαστηρίου να εκδίδει προνομιακά εντάλματα</w:t>
      </w:r>
      <w:r>
        <w:rPr>
          <w:rFonts w:ascii="Bookman Old Style" w:eastAsia="Times New Roman" w:hAnsi="Bookman Old Style"/>
          <w:color w:val="000000"/>
          <w:sz w:val="28"/>
          <w:szCs w:val="28"/>
          <w:lang w:val="el-GR"/>
        </w:rPr>
        <w:t>,</w:t>
      </w:r>
      <w:r w:rsidRPr="0053721D">
        <w:rPr>
          <w:rFonts w:ascii="Bookman Old Style" w:eastAsia="Times New Roman" w:hAnsi="Bookman Old Style"/>
          <w:color w:val="000000"/>
          <w:sz w:val="28"/>
          <w:szCs w:val="28"/>
          <w:lang w:val="el-GR"/>
        </w:rPr>
        <w:t xml:space="preserve"> δεν έχει ως αντικείμενο </w:t>
      </w:r>
      <w:r>
        <w:rPr>
          <w:rFonts w:ascii="Bookman Old Style" w:eastAsia="Times New Roman" w:hAnsi="Bookman Old Style"/>
          <w:color w:val="000000"/>
          <w:sz w:val="28"/>
          <w:szCs w:val="28"/>
          <w:lang w:val="el-GR"/>
        </w:rPr>
        <w:t xml:space="preserve">την </w:t>
      </w:r>
      <w:r w:rsidRPr="0053721D">
        <w:rPr>
          <w:rFonts w:ascii="Bookman Old Style" w:eastAsia="Times New Roman" w:hAnsi="Bookman Old Style"/>
          <w:color w:val="000000"/>
          <w:sz w:val="28"/>
          <w:szCs w:val="28"/>
          <w:lang w:val="el-GR"/>
        </w:rPr>
        <w:t xml:space="preserve">ορθότητα των αποφάσεων </w:t>
      </w:r>
      <w:r>
        <w:rPr>
          <w:rFonts w:ascii="Bookman Old Style" w:eastAsia="Times New Roman" w:hAnsi="Bookman Old Style"/>
          <w:color w:val="000000"/>
          <w:sz w:val="28"/>
          <w:szCs w:val="28"/>
          <w:lang w:val="el-GR"/>
        </w:rPr>
        <w:t>κ</w:t>
      </w:r>
      <w:r w:rsidRPr="0053721D">
        <w:rPr>
          <w:rFonts w:ascii="Bookman Old Style" w:eastAsia="Times New Roman" w:hAnsi="Bookman Old Style"/>
          <w:color w:val="000000"/>
          <w:sz w:val="28"/>
          <w:szCs w:val="28"/>
          <w:lang w:val="el-GR"/>
        </w:rPr>
        <w:t>ατώτερων Δικαστηρίων,</w:t>
      </w:r>
      <w:r>
        <w:rPr>
          <w:rFonts w:ascii="Bookman Old Style" w:eastAsia="Times New Roman" w:hAnsi="Bookman Old Style"/>
          <w:color w:val="000000"/>
          <w:sz w:val="28"/>
          <w:szCs w:val="28"/>
          <w:lang w:val="el-GR"/>
        </w:rPr>
        <w:t xml:space="preserve"> ούτε τον τρόπο άσκησης της διακριτικής ευχέρεια τους.</w:t>
      </w:r>
      <w:r w:rsidRPr="00112749">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Μια προνομιακή διαδικασία ως η υπό συζήτηση, δεν συνιστά υποκατάστατο της δευτεροβάθμιας διαδικασίας και μέσο για τον έλεγχο της ορθότητας των αποφάσεων των κατώτερων Δικαστηρίων. Ούτε μπορεί να αφεθεί να χρησιμοποιηθεί ως έφεση υπό μεταμφίεση.</w:t>
      </w:r>
      <w:r w:rsidRPr="001F6C31">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 xml:space="preserve">Ό,τι </w:t>
      </w:r>
      <w:r w:rsidRPr="00DC64BE">
        <w:rPr>
          <w:rFonts w:ascii="Bookman Old Style" w:eastAsia="Times New Roman" w:hAnsi="Bookman Old Style"/>
          <w:color w:val="000000"/>
          <w:sz w:val="28"/>
          <w:szCs w:val="28"/>
          <w:lang w:val="el-GR"/>
        </w:rPr>
        <w:t>ενδιαφέρει</w:t>
      </w:r>
      <w:r>
        <w:rPr>
          <w:rFonts w:ascii="Bookman Old Style" w:eastAsia="Times New Roman" w:hAnsi="Bookman Old Style"/>
          <w:color w:val="000000"/>
          <w:sz w:val="28"/>
          <w:szCs w:val="28"/>
          <w:lang w:val="el-GR"/>
        </w:rPr>
        <w:t>,</w:t>
      </w:r>
      <w:r w:rsidRPr="00DC64BE">
        <w:rPr>
          <w:rFonts w:ascii="Bookman Old Style" w:eastAsia="Times New Roman" w:hAnsi="Bookman Old Style"/>
          <w:color w:val="000000"/>
          <w:sz w:val="28"/>
          <w:szCs w:val="28"/>
          <w:lang w:val="el-GR"/>
        </w:rPr>
        <w:t xml:space="preserve"> είναι η νομιμότητα των ελεγχόμενων ενεργειών.</w:t>
      </w:r>
      <w:r>
        <w:rPr>
          <w:rFonts w:ascii="Bookman Old Style" w:eastAsia="Times New Roman" w:hAnsi="Bookman Old Style"/>
          <w:color w:val="000000"/>
          <w:sz w:val="28"/>
          <w:szCs w:val="28"/>
          <w:lang w:val="el-GR"/>
        </w:rPr>
        <w:t xml:space="preserve"> </w:t>
      </w:r>
      <w:r w:rsidRPr="00DC64BE">
        <w:rPr>
          <w:rFonts w:ascii="Bookman Old Style" w:hAnsi="Bookman Old Style"/>
          <w:sz w:val="28"/>
          <w:szCs w:val="28"/>
          <w:lang w:val="el-GR"/>
        </w:rPr>
        <w:t xml:space="preserve">Ακόμα και στην περίπτωση που το Δικαστήριο έχει λανθασμένα αντιληφθεί </w:t>
      </w:r>
      <w:r>
        <w:rPr>
          <w:rFonts w:ascii="Bookman Old Style" w:hAnsi="Bookman Old Style"/>
          <w:sz w:val="28"/>
          <w:szCs w:val="28"/>
          <w:lang w:val="el-GR"/>
        </w:rPr>
        <w:t xml:space="preserve">και ερμηνεύσει ένα νομοθέτημα, </w:t>
      </w:r>
      <w:r w:rsidRPr="00DC64BE">
        <w:rPr>
          <w:rFonts w:ascii="Bookman Old Style" w:hAnsi="Bookman Old Style"/>
          <w:sz w:val="28"/>
          <w:szCs w:val="28"/>
          <w:lang w:val="el-GR"/>
        </w:rPr>
        <w:t>αυτό διορθώνεται κατ’ έφεση και όχι μέσω Προνομιακών Ενταλμάτων</w:t>
      </w:r>
      <w:bookmarkStart w:id="3" w:name="_ftnref2"/>
      <w:r w:rsidRPr="00F75AB7">
        <w:rPr>
          <w:rFonts w:ascii="Bookman Old Style" w:hAnsi="Bookman Old Style"/>
          <w:sz w:val="28"/>
          <w:szCs w:val="28"/>
          <w:lang w:val="el-GR"/>
        </w:rPr>
        <w:t xml:space="preserve"> </w:t>
      </w:r>
      <w:r w:rsidRPr="00964C1C">
        <w:rPr>
          <w:rFonts w:ascii="Bookman Old Style" w:eastAsia="Times New Roman" w:hAnsi="Bookman Old Style"/>
          <w:color w:val="000000"/>
          <w:sz w:val="28"/>
          <w:szCs w:val="28"/>
          <w:lang w:val="el-GR"/>
        </w:rPr>
        <w:t xml:space="preserve">(βλ. μεταξύ άλλων: </w:t>
      </w:r>
      <w:r w:rsidRPr="003431FF">
        <w:rPr>
          <w:rFonts w:ascii="Bookman Old Style" w:eastAsia="Times New Roman" w:hAnsi="Bookman Old Style"/>
          <w:b/>
          <w:bCs/>
          <w:color w:val="000000"/>
          <w:sz w:val="28"/>
          <w:szCs w:val="28"/>
          <w:lang w:val="el-GR"/>
        </w:rPr>
        <w:t xml:space="preserve">Αναφορικά με την αίτηση των </w:t>
      </w:r>
      <w:proofErr w:type="spellStart"/>
      <w:r w:rsidRPr="003431FF">
        <w:rPr>
          <w:rFonts w:ascii="Bookman Old Style" w:eastAsia="Times New Roman" w:hAnsi="Bookman Old Style"/>
          <w:b/>
          <w:bCs/>
          <w:color w:val="000000"/>
          <w:sz w:val="28"/>
          <w:szCs w:val="28"/>
        </w:rPr>
        <w:t>Junport</w:t>
      </w:r>
      <w:proofErr w:type="spellEnd"/>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International</w:t>
      </w:r>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Limited</w:t>
      </w:r>
      <w:r w:rsidRPr="003431FF">
        <w:rPr>
          <w:rFonts w:ascii="Bookman Old Style" w:eastAsia="Times New Roman" w:hAnsi="Bookman Old Style"/>
          <w:b/>
          <w:bCs/>
          <w:color w:val="000000"/>
          <w:sz w:val="28"/>
          <w:szCs w:val="28"/>
          <w:lang w:val="el-GR"/>
        </w:rPr>
        <w:t xml:space="preserve"> κ.ά., Π</w:t>
      </w:r>
      <w:r w:rsidR="00FC51FC" w:rsidRPr="003431FF">
        <w:rPr>
          <w:rFonts w:ascii="Bookman Old Style" w:eastAsia="Times New Roman" w:hAnsi="Bookman Old Style"/>
          <w:b/>
          <w:bCs/>
          <w:color w:val="000000"/>
          <w:sz w:val="28"/>
          <w:szCs w:val="28"/>
          <w:lang w:val="el-GR"/>
        </w:rPr>
        <w:t>.</w:t>
      </w:r>
      <w:r w:rsidRPr="003431FF">
        <w:rPr>
          <w:rFonts w:ascii="Bookman Old Style" w:eastAsia="Times New Roman" w:hAnsi="Bookman Old Style"/>
          <w:b/>
          <w:bCs/>
          <w:color w:val="000000"/>
          <w:sz w:val="28"/>
          <w:szCs w:val="28"/>
          <w:lang w:val="el-GR"/>
        </w:rPr>
        <w:t>Έ</w:t>
      </w:r>
      <w:r w:rsidR="00FC51FC" w:rsidRPr="003431FF">
        <w:rPr>
          <w:rFonts w:ascii="Bookman Old Style" w:eastAsia="Times New Roman" w:hAnsi="Bookman Old Style"/>
          <w:b/>
          <w:bCs/>
          <w:color w:val="000000"/>
          <w:sz w:val="28"/>
          <w:szCs w:val="28"/>
          <w:lang w:val="el-GR"/>
        </w:rPr>
        <w:t>.</w:t>
      </w:r>
      <w:r w:rsidRPr="003431FF">
        <w:rPr>
          <w:rFonts w:ascii="Bookman Old Style" w:eastAsia="Times New Roman" w:hAnsi="Bookman Old Style"/>
          <w:b/>
          <w:bCs/>
          <w:color w:val="000000"/>
          <w:sz w:val="28"/>
          <w:szCs w:val="28"/>
          <w:lang w:val="el-GR"/>
        </w:rPr>
        <w:t xml:space="preserve"> </w:t>
      </w:r>
      <w:proofErr w:type="spellStart"/>
      <w:r w:rsidRPr="003431FF">
        <w:rPr>
          <w:rFonts w:ascii="Bookman Old Style" w:eastAsia="Times New Roman" w:hAnsi="Bookman Old Style"/>
          <w:b/>
          <w:bCs/>
          <w:color w:val="000000"/>
          <w:sz w:val="28"/>
          <w:szCs w:val="28"/>
          <w:lang w:val="el-GR"/>
        </w:rPr>
        <w:t>Αρ</w:t>
      </w:r>
      <w:proofErr w:type="spellEnd"/>
      <w:r w:rsidRPr="003431FF">
        <w:rPr>
          <w:rFonts w:ascii="Bookman Old Style" w:eastAsia="Times New Roman" w:hAnsi="Bookman Old Style"/>
          <w:b/>
          <w:bCs/>
          <w:color w:val="000000"/>
          <w:sz w:val="28"/>
          <w:szCs w:val="28"/>
          <w:lang w:val="el-GR"/>
        </w:rPr>
        <w:t xml:space="preserve">. 321/2017, </w:t>
      </w:r>
      <w:proofErr w:type="spellStart"/>
      <w:r w:rsidRPr="003431FF">
        <w:rPr>
          <w:rFonts w:ascii="Bookman Old Style" w:eastAsia="Times New Roman" w:hAnsi="Bookman Old Style"/>
          <w:b/>
          <w:bCs/>
          <w:color w:val="000000"/>
          <w:sz w:val="28"/>
          <w:szCs w:val="28"/>
          <w:lang w:val="el-GR"/>
        </w:rPr>
        <w:t>ημερ</w:t>
      </w:r>
      <w:proofErr w:type="spellEnd"/>
      <w:r w:rsidRPr="003431FF">
        <w:rPr>
          <w:rFonts w:ascii="Bookman Old Style" w:eastAsia="Times New Roman" w:hAnsi="Bookman Old Style"/>
          <w:b/>
          <w:bCs/>
          <w:color w:val="000000"/>
          <w:sz w:val="28"/>
          <w:szCs w:val="28"/>
          <w:lang w:val="el-GR"/>
        </w:rPr>
        <w:t>. 2/4/2018</w:t>
      </w:r>
      <w:r w:rsidRPr="003431FF">
        <w:rPr>
          <w:rFonts w:ascii="Bookman Old Style" w:eastAsia="Times New Roman" w:hAnsi="Bookman Old Style"/>
          <w:color w:val="000000"/>
          <w:sz w:val="28"/>
          <w:szCs w:val="28"/>
          <w:lang w:val="el-GR"/>
        </w:rPr>
        <w:t xml:space="preserve">), </w:t>
      </w:r>
      <w:r w:rsidRPr="003431FF">
        <w:rPr>
          <w:rFonts w:ascii="Bookman Old Style" w:eastAsia="Times New Roman" w:hAnsi="Bookman Old Style"/>
          <w:b/>
          <w:bCs/>
          <w:color w:val="000000"/>
          <w:sz w:val="28"/>
          <w:szCs w:val="28"/>
          <w:lang w:val="el-GR"/>
        </w:rPr>
        <w:t xml:space="preserve">Γενικός Εισαγγελέας (Αρ.3) (1993) 1 Α.Α.Δ. 42, </w:t>
      </w:r>
      <w:r w:rsidRPr="003431FF">
        <w:rPr>
          <w:rFonts w:ascii="Bookman Old Style" w:eastAsia="Times New Roman" w:hAnsi="Bookman Old Style"/>
          <w:b/>
          <w:bCs/>
          <w:color w:val="000000"/>
          <w:sz w:val="28"/>
          <w:szCs w:val="28"/>
        </w:rPr>
        <w:t>Global</w:t>
      </w:r>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Consolidation</w:t>
      </w:r>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Public</w:t>
      </w:r>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Ltd</w:t>
      </w:r>
      <w:r w:rsidRPr="003431FF">
        <w:rPr>
          <w:rFonts w:ascii="Bookman Old Style" w:eastAsia="Times New Roman" w:hAnsi="Bookman Old Style"/>
          <w:b/>
          <w:bCs/>
          <w:color w:val="000000"/>
          <w:sz w:val="28"/>
          <w:szCs w:val="28"/>
          <w:lang w:val="el-GR"/>
        </w:rPr>
        <w:t xml:space="preserve"> (2006) 1 </w:t>
      </w:r>
      <w:r w:rsidRPr="003431FF">
        <w:rPr>
          <w:rFonts w:ascii="Bookman Old Style" w:eastAsia="Times New Roman" w:hAnsi="Bookman Old Style"/>
          <w:b/>
          <w:bCs/>
          <w:color w:val="000000"/>
          <w:sz w:val="28"/>
          <w:szCs w:val="28"/>
        </w:rPr>
        <w:t>A</w:t>
      </w:r>
      <w:r w:rsidRPr="003431FF">
        <w:rPr>
          <w:rFonts w:ascii="Bookman Old Style" w:eastAsia="Times New Roman" w:hAnsi="Bookman Old Style"/>
          <w:b/>
          <w:bCs/>
          <w:color w:val="000000"/>
          <w:sz w:val="28"/>
          <w:szCs w:val="28"/>
          <w:lang w:val="el-GR"/>
        </w:rPr>
        <w:t>.</w:t>
      </w:r>
      <w:r w:rsidRPr="003431FF">
        <w:rPr>
          <w:rFonts w:ascii="Bookman Old Style" w:eastAsia="Times New Roman" w:hAnsi="Bookman Old Style"/>
          <w:b/>
          <w:bCs/>
          <w:color w:val="000000"/>
          <w:sz w:val="28"/>
          <w:szCs w:val="28"/>
        </w:rPr>
        <w:t>A</w:t>
      </w:r>
      <w:r w:rsidRPr="003431FF">
        <w:rPr>
          <w:rFonts w:ascii="Bookman Old Style" w:eastAsia="Times New Roman" w:hAnsi="Bookman Old Style"/>
          <w:b/>
          <w:bCs/>
          <w:color w:val="000000"/>
          <w:sz w:val="28"/>
          <w:szCs w:val="28"/>
          <w:lang w:val="el-GR"/>
        </w:rPr>
        <w:t xml:space="preserve">.Δ. 464, </w:t>
      </w:r>
      <w:proofErr w:type="spellStart"/>
      <w:r w:rsidRPr="003431FF">
        <w:rPr>
          <w:rFonts w:ascii="Bookman Old Style" w:eastAsia="Times New Roman" w:hAnsi="Bookman Old Style"/>
          <w:b/>
          <w:bCs/>
          <w:color w:val="000000"/>
          <w:sz w:val="28"/>
          <w:szCs w:val="28"/>
        </w:rPr>
        <w:t>Daventree</w:t>
      </w:r>
      <w:proofErr w:type="spellEnd"/>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Trustees</w:t>
      </w:r>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Ltd</w:t>
      </w:r>
      <w:r w:rsidRPr="003431FF">
        <w:rPr>
          <w:rFonts w:ascii="Bookman Old Style" w:eastAsia="Times New Roman" w:hAnsi="Bookman Old Style"/>
          <w:b/>
          <w:bCs/>
          <w:color w:val="000000"/>
          <w:sz w:val="28"/>
          <w:szCs w:val="28"/>
          <w:lang w:val="el-GR"/>
        </w:rPr>
        <w:t xml:space="preserve"> (2005) 1(</w:t>
      </w:r>
      <w:r w:rsidRPr="003431FF">
        <w:rPr>
          <w:rFonts w:ascii="Bookman Old Style" w:eastAsia="Times New Roman" w:hAnsi="Bookman Old Style"/>
          <w:b/>
          <w:bCs/>
          <w:color w:val="000000"/>
          <w:sz w:val="28"/>
          <w:szCs w:val="28"/>
        </w:rPr>
        <w:t>A</w:t>
      </w:r>
      <w:r w:rsidRPr="003431FF">
        <w:rPr>
          <w:rFonts w:ascii="Bookman Old Style" w:eastAsia="Times New Roman" w:hAnsi="Bookman Old Style"/>
          <w:b/>
          <w:bCs/>
          <w:color w:val="000000"/>
          <w:sz w:val="28"/>
          <w:szCs w:val="28"/>
          <w:lang w:val="el-GR"/>
        </w:rPr>
        <w:t xml:space="preserve">) Α.Α.Δ. 712 </w:t>
      </w:r>
      <w:r w:rsidRPr="003431FF">
        <w:rPr>
          <w:rFonts w:ascii="Bookman Old Style" w:eastAsia="Times New Roman" w:hAnsi="Bookman Old Style"/>
          <w:color w:val="000000"/>
          <w:sz w:val="28"/>
          <w:szCs w:val="28"/>
          <w:lang w:val="el-GR"/>
        </w:rPr>
        <w:t>και</w:t>
      </w:r>
      <w:r w:rsidRPr="003431FF">
        <w:rPr>
          <w:rFonts w:ascii="Bookman Old Style" w:eastAsia="Times New Roman" w:hAnsi="Bookman Old Style"/>
          <w:b/>
          <w:bCs/>
          <w:color w:val="000000"/>
          <w:sz w:val="28"/>
          <w:szCs w:val="28"/>
          <w:lang w:val="el-GR"/>
        </w:rPr>
        <w:t xml:space="preserve"> Αναφορικά με την </w:t>
      </w:r>
      <w:r w:rsidRPr="003431FF">
        <w:rPr>
          <w:rFonts w:ascii="Bookman Old Style" w:eastAsia="Times New Roman" w:hAnsi="Bookman Old Style"/>
          <w:b/>
          <w:bCs/>
          <w:color w:val="000000"/>
          <w:sz w:val="28"/>
          <w:szCs w:val="28"/>
        </w:rPr>
        <w:t>Bank</w:t>
      </w:r>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of</w:t>
      </w:r>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Cyprus</w:t>
      </w:r>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Public</w:t>
      </w:r>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Company</w:t>
      </w:r>
      <w:r w:rsidRPr="003431FF">
        <w:rPr>
          <w:rFonts w:ascii="Bookman Old Style" w:eastAsia="Times New Roman" w:hAnsi="Bookman Old Style"/>
          <w:b/>
          <w:bCs/>
          <w:color w:val="000000"/>
          <w:sz w:val="28"/>
          <w:szCs w:val="28"/>
          <w:lang w:val="el-GR"/>
        </w:rPr>
        <w:t xml:space="preserve"> </w:t>
      </w:r>
      <w:r w:rsidRPr="003431FF">
        <w:rPr>
          <w:rFonts w:ascii="Bookman Old Style" w:eastAsia="Times New Roman" w:hAnsi="Bookman Old Style"/>
          <w:b/>
          <w:bCs/>
          <w:color w:val="000000"/>
          <w:sz w:val="28"/>
          <w:szCs w:val="28"/>
        </w:rPr>
        <w:t>Ltd</w:t>
      </w:r>
      <w:r w:rsidRPr="003431FF">
        <w:rPr>
          <w:rFonts w:ascii="Bookman Old Style" w:eastAsia="Times New Roman" w:hAnsi="Bookman Old Style"/>
          <w:b/>
          <w:bCs/>
          <w:color w:val="000000"/>
          <w:sz w:val="28"/>
          <w:szCs w:val="28"/>
          <w:lang w:val="el-GR"/>
        </w:rPr>
        <w:t>, Π</w:t>
      </w:r>
      <w:r w:rsidR="00A454C3" w:rsidRPr="003431FF">
        <w:rPr>
          <w:rFonts w:ascii="Bookman Old Style" w:eastAsia="Times New Roman" w:hAnsi="Bookman Old Style"/>
          <w:b/>
          <w:bCs/>
          <w:color w:val="000000"/>
          <w:sz w:val="28"/>
          <w:szCs w:val="28"/>
          <w:lang w:val="el-GR"/>
        </w:rPr>
        <w:t>.</w:t>
      </w:r>
      <w:r w:rsidRPr="003431FF">
        <w:rPr>
          <w:rFonts w:ascii="Bookman Old Style" w:eastAsia="Times New Roman" w:hAnsi="Bookman Old Style"/>
          <w:b/>
          <w:bCs/>
          <w:color w:val="000000"/>
          <w:sz w:val="28"/>
          <w:szCs w:val="28"/>
          <w:lang w:val="el-GR"/>
        </w:rPr>
        <w:t>Ε</w:t>
      </w:r>
      <w:r w:rsidR="00A454C3" w:rsidRPr="003431FF">
        <w:rPr>
          <w:rFonts w:ascii="Bookman Old Style" w:eastAsia="Times New Roman" w:hAnsi="Bookman Old Style"/>
          <w:b/>
          <w:bCs/>
          <w:color w:val="000000"/>
          <w:sz w:val="28"/>
          <w:szCs w:val="28"/>
          <w:lang w:val="el-GR"/>
        </w:rPr>
        <w:t>.</w:t>
      </w:r>
      <w:r w:rsidRPr="003431FF">
        <w:rPr>
          <w:rFonts w:ascii="Bookman Old Style" w:eastAsia="Times New Roman" w:hAnsi="Bookman Old Style"/>
          <w:b/>
          <w:bCs/>
          <w:color w:val="000000"/>
          <w:sz w:val="28"/>
          <w:szCs w:val="28"/>
          <w:lang w:val="el-GR"/>
        </w:rPr>
        <w:t xml:space="preserve"> 12/21, </w:t>
      </w:r>
      <w:proofErr w:type="spellStart"/>
      <w:r w:rsidRPr="003431FF">
        <w:rPr>
          <w:rFonts w:ascii="Bookman Old Style" w:eastAsia="Times New Roman" w:hAnsi="Bookman Old Style"/>
          <w:b/>
          <w:bCs/>
          <w:color w:val="000000"/>
          <w:sz w:val="28"/>
          <w:szCs w:val="28"/>
          <w:lang w:val="el-GR"/>
        </w:rPr>
        <w:t>ημερ</w:t>
      </w:r>
      <w:proofErr w:type="spellEnd"/>
      <w:r w:rsidRPr="003431FF">
        <w:rPr>
          <w:rFonts w:ascii="Bookman Old Style" w:eastAsia="Times New Roman" w:hAnsi="Bookman Old Style"/>
          <w:b/>
          <w:bCs/>
          <w:color w:val="000000"/>
          <w:sz w:val="28"/>
          <w:szCs w:val="28"/>
          <w:lang w:val="el-GR"/>
        </w:rPr>
        <w:t>. 06.04.2021</w:t>
      </w:r>
      <w:r w:rsidRPr="003431FF">
        <w:rPr>
          <w:rFonts w:ascii="Bookman Old Style" w:eastAsia="Times New Roman" w:hAnsi="Bookman Old Style"/>
          <w:color w:val="000000"/>
          <w:sz w:val="28"/>
          <w:szCs w:val="28"/>
          <w:lang w:val="el-GR"/>
        </w:rPr>
        <w:t>).</w:t>
      </w:r>
      <w:bookmarkEnd w:id="3"/>
    </w:p>
    <w:p w14:paraId="2C6B5B87" w14:textId="352D701C" w:rsidR="00A454C3" w:rsidRPr="00FC4D2F" w:rsidRDefault="00A128F3" w:rsidP="00E37088">
      <w:pPr>
        <w:tabs>
          <w:tab w:val="left" w:pos="567"/>
        </w:tabs>
        <w:spacing w:before="240" w:line="480" w:lineRule="auto"/>
        <w:jc w:val="both"/>
        <w:rPr>
          <w:rFonts w:ascii="Bookman Old Style" w:eastAsia="Times New Roman" w:hAnsi="Bookman Old Style" w:cs="Arial"/>
          <w:color w:val="000000"/>
          <w:sz w:val="28"/>
          <w:szCs w:val="28"/>
          <w:lang w:val="el-GR" w:bidi="he-IL"/>
        </w:rPr>
      </w:pPr>
      <w:r>
        <w:rPr>
          <w:rFonts w:ascii="Bookman Old Style" w:hAnsi="Bookman Old Style" w:cstheme="majorBidi"/>
          <w:sz w:val="28"/>
          <w:szCs w:val="28"/>
          <w:lang w:val="el-GR"/>
        </w:rPr>
        <w:lastRenderedPageBreak/>
        <w:tab/>
      </w:r>
      <w:r w:rsidR="00A454C3">
        <w:rPr>
          <w:rFonts w:ascii="Bookman Old Style" w:hAnsi="Bookman Old Style" w:cstheme="majorBidi"/>
          <w:sz w:val="28"/>
          <w:szCs w:val="28"/>
          <w:lang w:val="el-GR"/>
        </w:rPr>
        <w:t xml:space="preserve">Στην απόφασή της ολομέλειας του Ανώτατου Δικαστηρίου, </w:t>
      </w:r>
      <w:r w:rsidR="00A454C3">
        <w:rPr>
          <w:rFonts w:ascii="Bookman Old Style" w:eastAsia="Times New Roman" w:hAnsi="Bookman Old Style" w:cs="Arial"/>
          <w:color w:val="000000"/>
          <w:sz w:val="28"/>
          <w:szCs w:val="28"/>
          <w:lang w:val="el-GR" w:bidi="he-IL"/>
        </w:rPr>
        <w:t xml:space="preserve">στην </w:t>
      </w:r>
      <w:r w:rsidR="00A454C3" w:rsidRPr="00A454C3">
        <w:rPr>
          <w:rFonts w:ascii="Bookman Old Style" w:eastAsia="Times New Roman" w:hAnsi="Bookman Old Style" w:cs="Arial"/>
          <w:b/>
          <w:bCs/>
          <w:color w:val="000000"/>
          <w:sz w:val="28"/>
          <w:szCs w:val="28"/>
          <w:lang w:val="el-GR" w:bidi="he-IL"/>
        </w:rPr>
        <w:t xml:space="preserve">Αίτηση του </w:t>
      </w:r>
      <w:r w:rsidR="00A454C3" w:rsidRPr="00A454C3">
        <w:rPr>
          <w:rFonts w:ascii="Bookman Old Style" w:eastAsia="Times New Roman" w:hAnsi="Bookman Old Style" w:cs="Arial"/>
          <w:b/>
          <w:bCs/>
          <w:color w:val="000000"/>
          <w:sz w:val="28"/>
          <w:szCs w:val="28"/>
          <w:lang w:bidi="he-IL"/>
        </w:rPr>
        <w:t>Nikolai</w:t>
      </w:r>
      <w:r w:rsidR="00A454C3" w:rsidRPr="00A454C3">
        <w:rPr>
          <w:rFonts w:ascii="Bookman Old Style" w:eastAsia="Times New Roman" w:hAnsi="Bookman Old Style" w:cs="Arial"/>
          <w:b/>
          <w:bCs/>
          <w:color w:val="000000"/>
          <w:sz w:val="28"/>
          <w:szCs w:val="28"/>
          <w:lang w:val="el-GR" w:bidi="he-IL"/>
        </w:rPr>
        <w:t xml:space="preserve"> </w:t>
      </w:r>
      <w:r w:rsidR="00A454C3" w:rsidRPr="00A454C3">
        <w:rPr>
          <w:rFonts w:ascii="Bookman Old Style" w:eastAsia="Times New Roman" w:hAnsi="Bookman Old Style" w:cs="Arial"/>
          <w:b/>
          <w:bCs/>
          <w:color w:val="000000"/>
          <w:sz w:val="28"/>
          <w:szCs w:val="28"/>
          <w:lang w:bidi="he-IL"/>
        </w:rPr>
        <w:t>Ivanovich</w:t>
      </w:r>
      <w:r w:rsidR="00A454C3" w:rsidRPr="00A454C3">
        <w:rPr>
          <w:rFonts w:ascii="Bookman Old Style" w:eastAsia="Times New Roman" w:hAnsi="Bookman Old Style" w:cs="Arial"/>
          <w:b/>
          <w:bCs/>
          <w:color w:val="000000"/>
          <w:sz w:val="28"/>
          <w:szCs w:val="28"/>
          <w:lang w:val="el-GR" w:bidi="he-IL"/>
        </w:rPr>
        <w:t xml:space="preserve"> </w:t>
      </w:r>
      <w:r w:rsidR="00A454C3" w:rsidRPr="00A454C3">
        <w:rPr>
          <w:rFonts w:ascii="Bookman Old Style" w:eastAsia="Times New Roman" w:hAnsi="Bookman Old Style" w:cs="Arial"/>
          <w:b/>
          <w:bCs/>
          <w:color w:val="000000"/>
          <w:sz w:val="28"/>
          <w:szCs w:val="28"/>
          <w:lang w:bidi="he-IL"/>
        </w:rPr>
        <w:t>Kazakov</w:t>
      </w:r>
      <w:r w:rsidR="00FC51FC">
        <w:rPr>
          <w:rFonts w:ascii="Bookman Old Style" w:eastAsia="Times New Roman" w:hAnsi="Bookman Old Style" w:cs="Arial"/>
          <w:b/>
          <w:bCs/>
          <w:color w:val="000000"/>
          <w:sz w:val="28"/>
          <w:szCs w:val="28"/>
          <w:lang w:val="el-GR" w:bidi="he-IL"/>
        </w:rPr>
        <w:t>,</w:t>
      </w:r>
      <w:r w:rsidR="00A454C3" w:rsidRPr="005D6520">
        <w:rPr>
          <w:rFonts w:ascii="Bookman Old Style" w:eastAsia="Times New Roman" w:hAnsi="Bookman Old Style" w:cs="Arial"/>
          <w:color w:val="000000"/>
          <w:sz w:val="28"/>
          <w:szCs w:val="28"/>
          <w:lang w:val="el-GR" w:bidi="he-IL"/>
        </w:rPr>
        <w:t xml:space="preserve"> </w:t>
      </w:r>
      <w:r w:rsidR="00A454C3">
        <w:rPr>
          <w:rFonts w:ascii="Bookman Old Style" w:eastAsia="Times New Roman" w:hAnsi="Bookman Old Style" w:cs="Arial"/>
          <w:b/>
          <w:bCs/>
          <w:i/>
          <w:iCs/>
          <w:color w:val="000000"/>
          <w:sz w:val="28"/>
          <w:szCs w:val="28"/>
          <w:lang w:val="el-GR" w:bidi="he-IL"/>
        </w:rPr>
        <w:t xml:space="preserve">Π.Ε. Αρ.72/2022, </w:t>
      </w:r>
      <w:proofErr w:type="spellStart"/>
      <w:r w:rsidR="00A454C3">
        <w:rPr>
          <w:rFonts w:ascii="Bookman Old Style" w:eastAsia="Times New Roman" w:hAnsi="Bookman Old Style" w:cs="Arial"/>
          <w:b/>
          <w:bCs/>
          <w:i/>
          <w:iCs/>
          <w:color w:val="000000"/>
          <w:sz w:val="28"/>
          <w:szCs w:val="28"/>
          <w:lang w:val="el-GR" w:bidi="he-IL"/>
        </w:rPr>
        <w:t>ημερ</w:t>
      </w:r>
      <w:proofErr w:type="spellEnd"/>
      <w:r w:rsidR="00A454C3">
        <w:rPr>
          <w:rFonts w:ascii="Bookman Old Style" w:eastAsia="Times New Roman" w:hAnsi="Bookman Old Style" w:cs="Arial"/>
          <w:b/>
          <w:bCs/>
          <w:i/>
          <w:iCs/>
          <w:color w:val="000000"/>
          <w:sz w:val="28"/>
          <w:szCs w:val="28"/>
          <w:lang w:val="el-GR" w:bidi="he-IL"/>
        </w:rPr>
        <w:t>. 17.7.2023</w:t>
      </w:r>
      <w:r w:rsidR="00FC51FC">
        <w:rPr>
          <w:rFonts w:ascii="Bookman Old Style" w:eastAsia="Times New Roman" w:hAnsi="Bookman Old Style" w:cs="Arial"/>
          <w:b/>
          <w:bCs/>
          <w:i/>
          <w:iCs/>
          <w:color w:val="000000"/>
          <w:sz w:val="28"/>
          <w:szCs w:val="28"/>
          <w:lang w:val="el-GR" w:bidi="he-IL"/>
        </w:rPr>
        <w:t xml:space="preserve"> </w:t>
      </w:r>
      <w:r w:rsidR="00A454C3">
        <w:rPr>
          <w:rFonts w:ascii="Bookman Old Style" w:eastAsia="Times New Roman" w:hAnsi="Bookman Old Style" w:cs="Arial"/>
          <w:color w:val="000000"/>
          <w:sz w:val="28"/>
          <w:szCs w:val="28"/>
          <w:lang w:val="el-GR" w:bidi="he-IL"/>
        </w:rPr>
        <w:t xml:space="preserve">για την έκδοση εντάλματος </w:t>
      </w:r>
      <w:r w:rsidR="00A454C3">
        <w:rPr>
          <w:rFonts w:ascii="Bookman Old Style" w:eastAsia="Times New Roman" w:hAnsi="Bookman Old Style" w:cs="Arial"/>
          <w:color w:val="000000"/>
          <w:sz w:val="28"/>
          <w:szCs w:val="28"/>
          <w:lang w:bidi="he-IL"/>
        </w:rPr>
        <w:t>Certiorari</w:t>
      </w:r>
      <w:r w:rsidR="00A454C3" w:rsidRPr="005D6520">
        <w:rPr>
          <w:rFonts w:ascii="Bookman Old Style" w:eastAsia="Times New Roman" w:hAnsi="Bookman Old Style" w:cs="Arial"/>
          <w:color w:val="000000"/>
          <w:sz w:val="28"/>
          <w:szCs w:val="28"/>
          <w:lang w:val="el-GR" w:bidi="he-IL"/>
        </w:rPr>
        <w:t>,</w:t>
      </w:r>
      <w:r w:rsidR="00FC51FC">
        <w:rPr>
          <w:rFonts w:ascii="Bookman Old Style" w:eastAsia="Times New Roman" w:hAnsi="Bookman Old Style" w:cs="Arial"/>
          <w:color w:val="000000"/>
          <w:sz w:val="28"/>
          <w:szCs w:val="28"/>
          <w:lang w:val="el-GR" w:bidi="he-IL"/>
        </w:rPr>
        <w:t>μεταξύ άλλων, επισημάνθηκε πως</w:t>
      </w:r>
      <w:r w:rsidR="00A454C3">
        <w:rPr>
          <w:rFonts w:ascii="Bookman Old Style" w:eastAsia="Times New Roman" w:hAnsi="Bookman Old Style" w:cs="Arial"/>
          <w:color w:val="000000"/>
          <w:sz w:val="28"/>
          <w:szCs w:val="28"/>
          <w:lang w:val="el-GR" w:bidi="he-IL"/>
        </w:rPr>
        <w:t>:</w:t>
      </w:r>
    </w:p>
    <w:p w14:paraId="4CDFF026" w14:textId="19AE1CC1" w:rsidR="009E3B62" w:rsidRPr="005A44F3" w:rsidRDefault="00A454C3" w:rsidP="00E37088">
      <w:pPr>
        <w:spacing w:before="240"/>
        <w:ind w:left="567"/>
        <w:jc w:val="both"/>
        <w:rPr>
          <w:rFonts w:ascii="Bookman Old Style" w:eastAsia="Times New Roman" w:hAnsi="Bookman Old Style" w:cs="Arial"/>
          <w:i/>
          <w:iCs/>
          <w:color w:val="000000"/>
          <w:sz w:val="28"/>
          <w:szCs w:val="28"/>
          <w:lang w:val="el-GR" w:bidi="he-IL"/>
        </w:rPr>
      </w:pPr>
      <w:r w:rsidRPr="005A44F3">
        <w:rPr>
          <w:rFonts w:ascii="Bookman Old Style" w:eastAsia="Times New Roman" w:hAnsi="Bookman Old Style" w:cs="Arial"/>
          <w:i/>
          <w:iCs/>
          <w:color w:val="000000"/>
          <w:sz w:val="28"/>
          <w:szCs w:val="28"/>
          <w:lang w:val="el-GR" w:bidi="he-IL"/>
        </w:rPr>
        <w:t xml:space="preserve">«Το δικαίωμα του καθενός να λαμβάνει γνώση για οιαδήποτε δικαστική διαδικασία τον αφορά ή μπορεί να επηρεάσει τα δικαιώματα του και να παραστεί στη διαδικασία και να ακουστεί, είναι ο ακρογωνιαίος λίθος του συστήματος απονομής της δικαιοσύνης στην Κύπρο. «Η </w:t>
      </w:r>
      <w:proofErr w:type="spellStart"/>
      <w:r w:rsidRPr="005A44F3">
        <w:rPr>
          <w:rFonts w:ascii="Bookman Old Style" w:eastAsia="Times New Roman" w:hAnsi="Bookman Old Style" w:cs="Arial"/>
          <w:i/>
          <w:iCs/>
          <w:color w:val="000000"/>
          <w:sz w:val="28"/>
          <w:szCs w:val="28"/>
          <w:lang w:val="el-GR" w:bidi="he-IL"/>
        </w:rPr>
        <w:t>λυδία</w:t>
      </w:r>
      <w:proofErr w:type="spellEnd"/>
      <w:r w:rsidRPr="005A44F3">
        <w:rPr>
          <w:rFonts w:ascii="Bookman Old Style" w:eastAsia="Times New Roman" w:hAnsi="Bookman Old Style" w:cs="Arial"/>
          <w:i/>
          <w:iCs/>
          <w:color w:val="000000"/>
          <w:sz w:val="28"/>
          <w:szCs w:val="28"/>
          <w:lang w:val="el-GR" w:bidi="he-IL"/>
        </w:rPr>
        <w:t xml:space="preserve"> λίθος της δίκαιης δίκης είναι το δικαίωμα ακρόασης», όπως χαρακτηριστικά αναφέρθηκε στη </w:t>
      </w:r>
      <w:r w:rsidRPr="005A44F3">
        <w:rPr>
          <w:rFonts w:ascii="Bookman Old Style" w:eastAsia="Times New Roman" w:hAnsi="Bookman Old Style" w:cs="Arial"/>
          <w:b/>
          <w:bCs/>
          <w:i/>
          <w:iCs/>
          <w:color w:val="000000"/>
          <w:sz w:val="28"/>
          <w:szCs w:val="28"/>
          <w:lang w:val="el-GR" w:bidi="he-IL"/>
        </w:rPr>
        <w:t>Χριστοφίδης (Αρ.1) (</w:t>
      </w:r>
      <w:r w:rsidRPr="005A44F3">
        <w:rPr>
          <w:rFonts w:ascii="Bookman Old Style" w:eastAsia="Times New Roman" w:hAnsi="Bookman Old Style" w:cs="Arial"/>
          <w:b/>
          <w:bCs/>
          <w:i/>
          <w:iCs/>
          <w:color w:val="000000"/>
          <w:sz w:val="28"/>
          <w:szCs w:val="28"/>
          <w:u w:val="single"/>
          <w:lang w:val="el-GR" w:bidi="he-IL"/>
        </w:rPr>
        <w:t>1993</w:t>
      </w:r>
      <w:hyperlink r:id="rId6" w:history="1">
        <w:r w:rsidRPr="005A44F3">
          <w:rPr>
            <w:rFonts w:ascii="Bookman Old Style" w:eastAsia="Times New Roman" w:hAnsi="Bookman Old Style" w:cs="Arial"/>
            <w:b/>
            <w:bCs/>
            <w:i/>
            <w:iCs/>
            <w:color w:val="000000"/>
            <w:sz w:val="28"/>
            <w:szCs w:val="28"/>
            <w:u w:val="single"/>
            <w:lang w:val="el-GR" w:bidi="he-IL"/>
          </w:rPr>
          <w:t>) 1 Α.Α.Δ. 613</w:t>
        </w:r>
      </w:hyperlink>
      <w:r w:rsidRPr="005A44F3">
        <w:rPr>
          <w:rFonts w:ascii="Bookman Old Style" w:eastAsia="Times New Roman" w:hAnsi="Bookman Old Style" w:cs="Arial"/>
          <w:i/>
          <w:iCs/>
          <w:color w:val="000000"/>
          <w:sz w:val="28"/>
          <w:szCs w:val="28"/>
          <w:lang w:val="el-GR" w:bidi="he-IL"/>
        </w:rPr>
        <w:t>, 617.</w:t>
      </w:r>
      <w:r w:rsidR="009E3B62" w:rsidRPr="005A44F3">
        <w:rPr>
          <w:rFonts w:ascii="Bookman Old Style" w:eastAsia="Times New Roman" w:hAnsi="Bookman Old Style" w:cs="Arial"/>
          <w:i/>
          <w:iCs/>
          <w:color w:val="000000"/>
          <w:sz w:val="28"/>
          <w:szCs w:val="28"/>
          <w:lang w:val="el-GR" w:bidi="he-IL"/>
        </w:rPr>
        <w:t xml:space="preserve"> </w:t>
      </w:r>
    </w:p>
    <w:p w14:paraId="739B42AF" w14:textId="77777777" w:rsidR="009E3B62" w:rsidRPr="005A44F3" w:rsidRDefault="009E3B62" w:rsidP="00E37088">
      <w:pPr>
        <w:spacing w:line="120" w:lineRule="auto"/>
        <w:ind w:left="567"/>
        <w:jc w:val="both"/>
        <w:rPr>
          <w:rFonts w:ascii="Bookman Old Style" w:eastAsia="Times New Roman" w:hAnsi="Bookman Old Style" w:cs="Arial"/>
          <w:i/>
          <w:iCs/>
          <w:color w:val="000000"/>
          <w:sz w:val="28"/>
          <w:szCs w:val="28"/>
          <w:lang w:val="el-GR" w:bidi="he-IL"/>
        </w:rPr>
      </w:pPr>
    </w:p>
    <w:p w14:paraId="799A4668" w14:textId="5064E88E" w:rsidR="009E3B62" w:rsidRPr="005A44F3" w:rsidRDefault="00E37088" w:rsidP="00E37088">
      <w:pPr>
        <w:spacing w:line="120" w:lineRule="auto"/>
        <w:ind w:left="567"/>
        <w:jc w:val="both"/>
        <w:rPr>
          <w:rFonts w:ascii="Bookman Old Style" w:eastAsia="Times New Roman" w:hAnsi="Bookman Old Style" w:cs="Arial"/>
          <w:i/>
          <w:iCs/>
          <w:color w:val="000000"/>
          <w:sz w:val="28"/>
          <w:szCs w:val="28"/>
          <w:lang w:val="el-GR" w:bidi="he-IL"/>
        </w:rPr>
      </w:pPr>
      <w:r>
        <w:rPr>
          <w:rFonts w:ascii="Bookman Old Style" w:eastAsia="Times New Roman" w:hAnsi="Bookman Old Style" w:cs="Arial"/>
          <w:i/>
          <w:iCs/>
          <w:color w:val="000000"/>
          <w:sz w:val="28"/>
          <w:szCs w:val="28"/>
          <w:lang w:val="el-GR" w:bidi="he-IL"/>
        </w:rPr>
        <w:t>[</w:t>
      </w:r>
      <w:r w:rsidR="00A454C3" w:rsidRPr="005A44F3">
        <w:rPr>
          <w:rFonts w:ascii="Bookman Old Style" w:eastAsia="Times New Roman" w:hAnsi="Bookman Old Style" w:cs="Arial"/>
          <w:i/>
          <w:iCs/>
          <w:color w:val="000000"/>
          <w:sz w:val="28"/>
          <w:szCs w:val="28"/>
          <w:lang w:val="el-GR" w:bidi="he-IL"/>
        </w:rPr>
        <w:t>...</w:t>
      </w:r>
      <w:r w:rsidR="009E3B62" w:rsidRPr="005A44F3">
        <w:rPr>
          <w:rFonts w:ascii="Bookman Old Style" w:eastAsia="Times New Roman" w:hAnsi="Bookman Old Style" w:cs="Arial"/>
          <w:i/>
          <w:iCs/>
          <w:color w:val="000000"/>
          <w:sz w:val="28"/>
          <w:szCs w:val="28"/>
          <w:lang w:val="el-GR" w:bidi="he-IL"/>
        </w:rPr>
        <w:t xml:space="preserve">] </w:t>
      </w:r>
    </w:p>
    <w:p w14:paraId="4CDDA828" w14:textId="77777777" w:rsidR="009E3B62" w:rsidRPr="005A44F3" w:rsidRDefault="009E3B62" w:rsidP="00E37088">
      <w:pPr>
        <w:spacing w:line="120" w:lineRule="auto"/>
        <w:ind w:left="567"/>
        <w:jc w:val="both"/>
        <w:rPr>
          <w:rFonts w:ascii="Bookman Old Style" w:eastAsia="Times New Roman" w:hAnsi="Bookman Old Style" w:cs="Arial"/>
          <w:i/>
          <w:iCs/>
          <w:color w:val="000000"/>
          <w:sz w:val="28"/>
          <w:szCs w:val="28"/>
          <w:lang w:val="el-GR" w:bidi="he-IL"/>
        </w:rPr>
      </w:pPr>
    </w:p>
    <w:p w14:paraId="7A1539D1" w14:textId="4791E776" w:rsidR="00A454C3" w:rsidRPr="005A44F3" w:rsidRDefault="00A454C3" w:rsidP="00A454C3">
      <w:pPr>
        <w:ind w:left="567"/>
        <w:jc w:val="both"/>
        <w:rPr>
          <w:rFonts w:ascii="Bookman Old Style" w:hAnsi="Bookman Old Style" w:cs="Arial"/>
          <w:i/>
          <w:iCs/>
          <w:color w:val="000000"/>
          <w:sz w:val="28"/>
          <w:szCs w:val="28"/>
          <w:lang w:val="el-GR"/>
        </w:rPr>
      </w:pPr>
      <w:r w:rsidRPr="005A44F3">
        <w:rPr>
          <w:rFonts w:ascii="Bookman Old Style" w:hAnsi="Bookman Old Style" w:cs="Arial"/>
          <w:i/>
          <w:iCs/>
          <w:color w:val="000000"/>
          <w:sz w:val="28"/>
          <w:szCs w:val="28"/>
          <w:lang w:val="el-GR"/>
        </w:rPr>
        <w:t>Στην </w:t>
      </w:r>
      <w:proofErr w:type="spellStart"/>
      <w:r w:rsidRPr="005A44F3">
        <w:rPr>
          <w:rFonts w:ascii="Bookman Old Style" w:hAnsi="Bookman Old Style" w:cs="Arial"/>
          <w:b/>
          <w:bCs/>
          <w:i/>
          <w:iCs/>
          <w:color w:val="000000"/>
          <w:sz w:val="28"/>
          <w:szCs w:val="28"/>
          <w:lang w:val="el-GR"/>
        </w:rPr>
        <w:t>Πιττάκης</w:t>
      </w:r>
      <w:proofErr w:type="spellEnd"/>
      <w:r w:rsidRPr="005A44F3">
        <w:rPr>
          <w:rFonts w:ascii="Bookman Old Style" w:hAnsi="Bookman Old Style" w:cs="Arial"/>
          <w:b/>
          <w:bCs/>
          <w:i/>
          <w:iCs/>
          <w:color w:val="000000"/>
          <w:sz w:val="28"/>
          <w:szCs w:val="28"/>
          <w:lang w:val="el-GR"/>
        </w:rPr>
        <w:t xml:space="preserve"> κ.ά</w:t>
      </w:r>
      <w:r w:rsidRPr="005A44F3">
        <w:rPr>
          <w:rFonts w:ascii="Bookman Old Style" w:hAnsi="Bookman Old Style" w:cs="Arial"/>
          <w:b/>
          <w:bCs/>
          <w:i/>
          <w:iCs/>
          <w:sz w:val="28"/>
          <w:szCs w:val="28"/>
          <w:lang w:val="el-GR"/>
        </w:rPr>
        <w:t xml:space="preserve">. </w:t>
      </w:r>
      <w:hyperlink r:id="rId7" w:history="1">
        <w:r w:rsidRPr="005A44F3">
          <w:rPr>
            <w:rStyle w:val="Hyperlink"/>
            <w:rFonts w:ascii="Bookman Old Style" w:hAnsi="Bookman Old Style" w:cs="Arial"/>
            <w:b/>
            <w:bCs/>
            <w:i/>
            <w:iCs/>
            <w:color w:val="auto"/>
            <w:sz w:val="28"/>
            <w:szCs w:val="28"/>
            <w:lang w:val="el-GR"/>
          </w:rPr>
          <w:t>(1994) 1 Α.Α.Δ. 297</w:t>
        </w:r>
      </w:hyperlink>
      <w:r w:rsidRPr="005A44F3">
        <w:rPr>
          <w:rFonts w:ascii="Bookman Old Style" w:hAnsi="Bookman Old Style" w:cs="Arial"/>
          <w:i/>
          <w:iCs/>
          <w:sz w:val="28"/>
          <w:szCs w:val="28"/>
          <w:lang w:val="el-GR"/>
        </w:rPr>
        <w:t>, 301, αναφέρθηκε ότι η τήρηση των κανόνων της φυσικής δικαιοσύνης συνιστά προϋπόθεση για την έγκυρη απονομή της δικαιοσύνης, ενώ στην</w:t>
      </w:r>
      <w:r w:rsidRPr="005A44F3">
        <w:rPr>
          <w:rFonts w:ascii="Bookman Old Style" w:hAnsi="Bookman Old Style" w:cs="Arial"/>
          <w:b/>
          <w:bCs/>
          <w:i/>
          <w:iCs/>
          <w:sz w:val="28"/>
          <w:szCs w:val="28"/>
          <w:lang w:val="el-GR"/>
        </w:rPr>
        <w:t xml:space="preserve"> Γρηγορίου ν. Τραπέζης Κύπρου </w:t>
      </w:r>
      <w:proofErr w:type="spellStart"/>
      <w:r w:rsidRPr="005A44F3">
        <w:rPr>
          <w:rFonts w:ascii="Bookman Old Style" w:hAnsi="Bookman Old Style" w:cs="Arial"/>
          <w:b/>
          <w:bCs/>
          <w:i/>
          <w:iCs/>
          <w:sz w:val="28"/>
          <w:szCs w:val="28"/>
          <w:lang w:val="el-GR"/>
        </w:rPr>
        <w:t>Λτδ</w:t>
      </w:r>
      <w:proofErr w:type="spellEnd"/>
      <w:r w:rsidRPr="005A44F3">
        <w:rPr>
          <w:rFonts w:ascii="Bookman Old Style" w:hAnsi="Bookman Old Style" w:cs="Arial"/>
          <w:b/>
          <w:bCs/>
          <w:i/>
          <w:iCs/>
          <w:sz w:val="28"/>
          <w:szCs w:val="28"/>
          <w:lang w:val="el-GR"/>
        </w:rPr>
        <w:t xml:space="preserve"> </w:t>
      </w:r>
      <w:hyperlink r:id="rId8" w:history="1">
        <w:r w:rsidRPr="005A44F3">
          <w:rPr>
            <w:rStyle w:val="Hyperlink"/>
            <w:rFonts w:ascii="Bookman Old Style" w:hAnsi="Bookman Old Style" w:cs="Arial"/>
            <w:b/>
            <w:bCs/>
            <w:i/>
            <w:iCs/>
            <w:color w:val="auto"/>
            <w:sz w:val="28"/>
            <w:szCs w:val="28"/>
            <w:lang w:val="el-GR"/>
          </w:rPr>
          <w:t>(1992) 1(Β) Α.Α.Δ. 1222</w:t>
        </w:r>
      </w:hyperlink>
      <w:r w:rsidRPr="005A44F3">
        <w:rPr>
          <w:rFonts w:ascii="Bookman Old Style" w:hAnsi="Bookman Old Style" w:cs="Arial"/>
          <w:i/>
          <w:iCs/>
          <w:sz w:val="28"/>
          <w:szCs w:val="28"/>
          <w:lang w:val="el-GR"/>
        </w:rPr>
        <w:t>, 1224, ότι η αποστέρη</w:t>
      </w:r>
      <w:r w:rsidRPr="005A44F3">
        <w:rPr>
          <w:rFonts w:ascii="Bookman Old Style" w:hAnsi="Bookman Old Style" w:cs="Arial"/>
          <w:i/>
          <w:iCs/>
          <w:color w:val="000000"/>
          <w:sz w:val="28"/>
          <w:szCs w:val="28"/>
          <w:lang w:val="el-GR"/>
        </w:rPr>
        <w:t xml:space="preserve">ση των δικαιωμάτων που κατοχυρώνει το </w:t>
      </w:r>
      <w:r w:rsidRPr="005A44F3">
        <w:rPr>
          <w:rFonts w:ascii="Bookman Old Style" w:hAnsi="Bookman Old Style" w:cs="Arial"/>
          <w:b/>
          <w:bCs/>
          <w:i/>
          <w:iCs/>
          <w:color w:val="000000"/>
          <w:sz w:val="28"/>
          <w:szCs w:val="28"/>
          <w:lang w:val="el-GR"/>
        </w:rPr>
        <w:t xml:space="preserve">Άρθρο 30.3 </w:t>
      </w:r>
      <w:r w:rsidRPr="005A44F3">
        <w:rPr>
          <w:rFonts w:ascii="Bookman Old Style" w:hAnsi="Bookman Old Style" w:cs="Arial"/>
          <w:i/>
          <w:iCs/>
          <w:color w:val="000000"/>
          <w:sz w:val="28"/>
          <w:szCs w:val="28"/>
          <w:lang w:val="el-GR"/>
        </w:rPr>
        <w:t xml:space="preserve">του </w:t>
      </w:r>
      <w:r w:rsidRPr="005A44F3">
        <w:rPr>
          <w:rFonts w:ascii="Bookman Old Style" w:hAnsi="Bookman Old Style" w:cs="Arial"/>
          <w:b/>
          <w:bCs/>
          <w:i/>
          <w:iCs/>
          <w:color w:val="000000"/>
          <w:sz w:val="28"/>
          <w:szCs w:val="28"/>
          <w:lang w:val="el-GR"/>
        </w:rPr>
        <w:t>Συντάγματος</w:t>
      </w:r>
      <w:r w:rsidRPr="005A44F3">
        <w:rPr>
          <w:rFonts w:ascii="Bookman Old Style" w:hAnsi="Bookman Old Style" w:cs="Arial"/>
          <w:i/>
          <w:iCs/>
          <w:color w:val="000000"/>
          <w:sz w:val="28"/>
          <w:szCs w:val="28"/>
          <w:lang w:val="el-GR"/>
        </w:rPr>
        <w:t xml:space="preserve"> αναιρεί τη δίκη και καθιστά το αποτέλεσμα </w:t>
      </w:r>
      <w:r w:rsidR="00FC51FC" w:rsidRPr="005A44F3">
        <w:rPr>
          <w:rFonts w:ascii="Bookman Old Style" w:hAnsi="Bookman Old Style" w:cs="Arial"/>
          <w:i/>
          <w:iCs/>
          <w:color w:val="000000"/>
          <w:sz w:val="28"/>
          <w:szCs w:val="28"/>
          <w:lang w:val="el-GR"/>
        </w:rPr>
        <w:t>ά</w:t>
      </w:r>
      <w:r w:rsidRPr="005A44F3">
        <w:rPr>
          <w:rFonts w:ascii="Bookman Old Style" w:hAnsi="Bookman Old Style" w:cs="Arial"/>
          <w:i/>
          <w:iCs/>
          <w:color w:val="000000"/>
          <w:sz w:val="28"/>
          <w:szCs w:val="28"/>
          <w:lang w:val="el-GR"/>
        </w:rPr>
        <w:t>κυρο</w:t>
      </w:r>
      <w:r w:rsidR="009E3B62" w:rsidRPr="005A44F3">
        <w:rPr>
          <w:rFonts w:ascii="Bookman Old Style" w:hAnsi="Bookman Old Style" w:cs="Arial"/>
          <w:i/>
          <w:iCs/>
          <w:color w:val="000000"/>
          <w:sz w:val="28"/>
          <w:szCs w:val="28"/>
          <w:lang w:val="el-GR"/>
        </w:rPr>
        <w:t xml:space="preserve">. …» </w:t>
      </w:r>
    </w:p>
    <w:p w14:paraId="1B57FC7E" w14:textId="77777777" w:rsidR="00A454C3" w:rsidRPr="00945866" w:rsidRDefault="00A454C3" w:rsidP="00A454C3">
      <w:pPr>
        <w:ind w:left="567"/>
        <w:jc w:val="both"/>
        <w:rPr>
          <w:rFonts w:ascii="Bookman Old Style" w:hAnsi="Bookman Old Style" w:cs="Arial"/>
          <w:color w:val="000000"/>
          <w:sz w:val="28"/>
          <w:szCs w:val="28"/>
          <w:lang w:val="el-GR"/>
        </w:rPr>
      </w:pPr>
    </w:p>
    <w:p w14:paraId="376C9DE2" w14:textId="4369816B" w:rsidR="005A44F3" w:rsidRDefault="00367024" w:rsidP="00E37088">
      <w:pPr>
        <w:tabs>
          <w:tab w:val="left" w:pos="567"/>
        </w:tabs>
        <w:spacing w:before="240" w:after="16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Ομοίως</w:t>
      </w:r>
      <w:r w:rsidR="003431FF">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στην υπόθεση</w:t>
      </w:r>
      <w:r w:rsidRPr="00367024">
        <w:rPr>
          <w:rFonts w:ascii="Bookman Old Style" w:eastAsia="Times New Roman" w:hAnsi="Bookman Old Style"/>
          <w:b/>
          <w:bCs/>
          <w:i/>
          <w:iCs/>
          <w:color w:val="000000"/>
          <w:sz w:val="28"/>
          <w:szCs w:val="28"/>
          <w:lang w:val="el-GR"/>
        </w:rPr>
        <w:t xml:space="preserve"> </w:t>
      </w:r>
      <w:proofErr w:type="spellStart"/>
      <w:r w:rsidRPr="003431FF">
        <w:rPr>
          <w:rFonts w:ascii="Bookman Old Style" w:eastAsia="Times New Roman" w:hAnsi="Bookman Old Style"/>
          <w:b/>
          <w:bCs/>
          <w:color w:val="000000"/>
          <w:sz w:val="28"/>
          <w:szCs w:val="28"/>
          <w:lang w:val="el-GR"/>
        </w:rPr>
        <w:t>Λέαντρος</w:t>
      </w:r>
      <w:proofErr w:type="spellEnd"/>
      <w:r w:rsidRPr="003431FF">
        <w:rPr>
          <w:rFonts w:ascii="Bookman Old Style" w:eastAsia="Times New Roman" w:hAnsi="Bookman Old Style"/>
          <w:b/>
          <w:bCs/>
          <w:color w:val="000000"/>
          <w:sz w:val="28"/>
          <w:szCs w:val="28"/>
          <w:lang w:val="el-GR"/>
        </w:rPr>
        <w:t xml:space="preserve"> Χριστοφίδης (Αρ.2) (1993) 1 Α.Α.Δ. 785</w:t>
      </w:r>
      <w:r w:rsidR="003431FF">
        <w:rPr>
          <w:rFonts w:ascii="Bookman Old Style" w:eastAsia="Times New Roman" w:hAnsi="Bookman Old Style"/>
          <w:b/>
          <w:bCs/>
          <w:color w:val="000000"/>
          <w:sz w:val="28"/>
          <w:szCs w:val="28"/>
          <w:lang w:val="el-GR"/>
        </w:rPr>
        <w:t>,</w:t>
      </w:r>
      <w:r w:rsidRPr="003431FF">
        <w:rPr>
          <w:rFonts w:ascii="Bookman Old Style" w:eastAsia="Times New Roman" w:hAnsi="Bookman Old Style"/>
          <w:color w:val="000000"/>
          <w:sz w:val="28"/>
          <w:szCs w:val="28"/>
          <w:lang w:val="el-GR"/>
        </w:rPr>
        <w:t xml:space="preserve"> </w:t>
      </w:r>
      <w:r w:rsidR="003431FF">
        <w:rPr>
          <w:rFonts w:ascii="Bookman Old Style" w:eastAsia="Times New Roman" w:hAnsi="Bookman Old Style"/>
          <w:color w:val="000000"/>
          <w:sz w:val="28"/>
          <w:szCs w:val="28"/>
          <w:lang w:val="el-GR"/>
        </w:rPr>
        <w:t xml:space="preserve">αφού επαναλαμβάνεται το θεμελιακό δικαίωμα της ακρόασης, ως τούτο αναγνωρίζεται από τις αρχές της φυσικής δικαιοσύνης και κατοχυρώνεται από το άρθρο 30.3 του Συντάγματος, </w:t>
      </w:r>
      <w:r w:rsidR="00C57AC0">
        <w:rPr>
          <w:rFonts w:ascii="Bookman Old Style" w:eastAsia="Times New Roman" w:hAnsi="Bookman Old Style"/>
          <w:color w:val="000000"/>
          <w:sz w:val="28"/>
          <w:szCs w:val="28"/>
          <w:lang w:val="el-GR"/>
        </w:rPr>
        <w:t xml:space="preserve">το Δικαστήριο, διασυνδέοντας το όλο ζήτημα και με την δυνατότητα έκδοσης προνομιακού εντάλματος, τύπου </w:t>
      </w:r>
      <w:r w:rsidR="00C57AC0">
        <w:rPr>
          <w:rFonts w:ascii="Bookman Old Style" w:eastAsia="Times New Roman" w:hAnsi="Bookman Old Style"/>
          <w:color w:val="000000"/>
          <w:sz w:val="28"/>
          <w:szCs w:val="28"/>
        </w:rPr>
        <w:t>Certiorari</w:t>
      </w:r>
      <w:r w:rsidR="00C57AC0" w:rsidRPr="00C57AC0">
        <w:rPr>
          <w:rFonts w:ascii="Bookman Old Style" w:eastAsia="Times New Roman" w:hAnsi="Bookman Old Style"/>
          <w:color w:val="000000"/>
          <w:sz w:val="28"/>
          <w:szCs w:val="28"/>
          <w:lang w:val="el-GR"/>
        </w:rPr>
        <w:t xml:space="preserve">, </w:t>
      </w:r>
      <w:r w:rsidR="00C57AC0">
        <w:rPr>
          <w:rFonts w:ascii="Bookman Old Style" w:eastAsia="Times New Roman" w:hAnsi="Bookman Old Style"/>
          <w:color w:val="000000"/>
          <w:sz w:val="28"/>
          <w:szCs w:val="28"/>
          <w:lang w:val="el-GR"/>
        </w:rPr>
        <w:t xml:space="preserve">παραπέμπει προς τούτο σε απόσπασμα του συγγράμματος </w:t>
      </w:r>
      <w:r w:rsidR="005A44F3">
        <w:rPr>
          <w:rFonts w:ascii="Bookman Old Style" w:eastAsia="Times New Roman" w:hAnsi="Bookman Old Style"/>
          <w:color w:val="000000"/>
          <w:sz w:val="28"/>
          <w:szCs w:val="28"/>
          <w:lang w:val="el-GR"/>
        </w:rPr>
        <w:t>«</w:t>
      </w:r>
      <w:r w:rsidR="00C57AC0" w:rsidRPr="005A44F3">
        <w:rPr>
          <w:rFonts w:ascii="Bookman Old Style" w:eastAsia="Times New Roman" w:hAnsi="Bookman Old Style" w:cs="Arial"/>
          <w:b/>
          <w:bCs/>
          <w:color w:val="000000"/>
          <w:sz w:val="28"/>
          <w:szCs w:val="28"/>
          <w:lang w:bidi="he-IL"/>
        </w:rPr>
        <w:t>Basu</w:t>
      </w:r>
      <w:r w:rsidR="00C57AC0" w:rsidRPr="005A44F3">
        <w:rPr>
          <w:rFonts w:ascii="Bookman Old Style" w:eastAsia="Times New Roman" w:hAnsi="Bookman Old Style" w:cs="Arial"/>
          <w:b/>
          <w:bCs/>
          <w:color w:val="000000"/>
          <w:sz w:val="28"/>
          <w:szCs w:val="28"/>
          <w:lang w:val="el-GR" w:bidi="he-IL"/>
        </w:rPr>
        <w:t xml:space="preserve"> </w:t>
      </w:r>
      <w:r w:rsidR="00C57AC0" w:rsidRPr="005A44F3">
        <w:rPr>
          <w:rFonts w:ascii="Bookman Old Style" w:eastAsia="Times New Roman" w:hAnsi="Bookman Old Style" w:cs="Arial"/>
          <w:b/>
          <w:bCs/>
          <w:color w:val="000000"/>
          <w:sz w:val="28"/>
          <w:szCs w:val="28"/>
          <w:lang w:bidi="he-IL"/>
        </w:rPr>
        <w:t>Commentary</w:t>
      </w:r>
      <w:r w:rsidR="00C57AC0" w:rsidRPr="005A44F3">
        <w:rPr>
          <w:rFonts w:ascii="Bookman Old Style" w:eastAsia="Times New Roman" w:hAnsi="Bookman Old Style" w:cs="Arial"/>
          <w:b/>
          <w:bCs/>
          <w:color w:val="000000"/>
          <w:sz w:val="28"/>
          <w:szCs w:val="28"/>
          <w:lang w:val="el-GR" w:bidi="he-IL"/>
        </w:rPr>
        <w:t xml:space="preserve"> </w:t>
      </w:r>
      <w:r w:rsidR="00C57AC0" w:rsidRPr="005A44F3">
        <w:rPr>
          <w:rFonts w:ascii="Bookman Old Style" w:eastAsia="Times New Roman" w:hAnsi="Bookman Old Style" w:cs="Arial"/>
          <w:b/>
          <w:bCs/>
          <w:color w:val="000000"/>
          <w:sz w:val="28"/>
          <w:szCs w:val="28"/>
          <w:lang w:bidi="he-IL"/>
        </w:rPr>
        <w:lastRenderedPageBreak/>
        <w:t>on</w:t>
      </w:r>
      <w:r w:rsidR="00C57AC0" w:rsidRPr="005A44F3">
        <w:rPr>
          <w:rFonts w:ascii="Bookman Old Style" w:eastAsia="Times New Roman" w:hAnsi="Bookman Old Style" w:cs="Arial"/>
          <w:b/>
          <w:bCs/>
          <w:color w:val="000000"/>
          <w:sz w:val="28"/>
          <w:szCs w:val="28"/>
          <w:lang w:val="el-GR" w:bidi="he-IL"/>
        </w:rPr>
        <w:t xml:space="preserve"> </w:t>
      </w:r>
      <w:r w:rsidR="00C57AC0" w:rsidRPr="005A44F3">
        <w:rPr>
          <w:rFonts w:ascii="Bookman Old Style" w:eastAsia="Times New Roman" w:hAnsi="Bookman Old Style" w:cs="Arial"/>
          <w:b/>
          <w:bCs/>
          <w:color w:val="000000"/>
          <w:sz w:val="28"/>
          <w:szCs w:val="28"/>
          <w:lang w:bidi="he-IL"/>
        </w:rPr>
        <w:t>the</w:t>
      </w:r>
      <w:r w:rsidR="00C57AC0" w:rsidRPr="005A44F3">
        <w:rPr>
          <w:rFonts w:ascii="Bookman Old Style" w:eastAsia="Times New Roman" w:hAnsi="Bookman Old Style" w:cs="Arial"/>
          <w:b/>
          <w:bCs/>
          <w:color w:val="000000"/>
          <w:sz w:val="28"/>
          <w:szCs w:val="28"/>
          <w:lang w:val="el-GR" w:bidi="he-IL"/>
        </w:rPr>
        <w:t xml:space="preserve"> </w:t>
      </w:r>
      <w:r w:rsidR="00C57AC0" w:rsidRPr="005A44F3">
        <w:rPr>
          <w:rFonts w:ascii="Bookman Old Style" w:eastAsia="Times New Roman" w:hAnsi="Bookman Old Style" w:cs="Arial"/>
          <w:b/>
          <w:bCs/>
          <w:color w:val="000000"/>
          <w:sz w:val="28"/>
          <w:szCs w:val="28"/>
          <w:lang w:bidi="he-IL"/>
        </w:rPr>
        <w:t>Constitution</w:t>
      </w:r>
      <w:r w:rsidR="00C57AC0" w:rsidRPr="005A44F3">
        <w:rPr>
          <w:rFonts w:ascii="Bookman Old Style" w:eastAsia="Times New Roman" w:hAnsi="Bookman Old Style" w:cs="Arial"/>
          <w:b/>
          <w:bCs/>
          <w:color w:val="000000"/>
          <w:sz w:val="28"/>
          <w:szCs w:val="28"/>
          <w:lang w:val="el-GR" w:bidi="he-IL"/>
        </w:rPr>
        <w:t xml:space="preserve"> </w:t>
      </w:r>
      <w:r w:rsidR="00C57AC0" w:rsidRPr="005A44F3">
        <w:rPr>
          <w:rFonts w:ascii="Bookman Old Style" w:eastAsia="Times New Roman" w:hAnsi="Bookman Old Style" w:cs="Arial"/>
          <w:b/>
          <w:bCs/>
          <w:color w:val="000000"/>
          <w:sz w:val="28"/>
          <w:szCs w:val="28"/>
          <w:lang w:bidi="he-IL"/>
        </w:rPr>
        <w:t>of</w:t>
      </w:r>
      <w:r w:rsidR="00C57AC0" w:rsidRPr="005A44F3">
        <w:rPr>
          <w:rFonts w:ascii="Bookman Old Style" w:eastAsia="Times New Roman" w:hAnsi="Bookman Old Style" w:cs="Arial"/>
          <w:b/>
          <w:bCs/>
          <w:color w:val="000000"/>
          <w:sz w:val="28"/>
          <w:szCs w:val="28"/>
          <w:lang w:val="el-GR" w:bidi="he-IL"/>
        </w:rPr>
        <w:t xml:space="preserve"> </w:t>
      </w:r>
      <w:r w:rsidR="00C57AC0" w:rsidRPr="005A44F3">
        <w:rPr>
          <w:rFonts w:ascii="Bookman Old Style" w:eastAsia="Times New Roman" w:hAnsi="Bookman Old Style" w:cs="Arial"/>
          <w:b/>
          <w:bCs/>
          <w:color w:val="000000"/>
          <w:sz w:val="28"/>
          <w:szCs w:val="28"/>
          <w:lang w:bidi="he-IL"/>
        </w:rPr>
        <w:t>India</w:t>
      </w:r>
      <w:r w:rsidR="005A44F3">
        <w:rPr>
          <w:rFonts w:ascii="Bookman Old Style" w:eastAsia="Times New Roman" w:hAnsi="Bookman Old Style" w:cs="Arial"/>
          <w:b/>
          <w:bCs/>
          <w:color w:val="000000"/>
          <w:sz w:val="28"/>
          <w:szCs w:val="28"/>
          <w:lang w:val="el-GR" w:bidi="he-IL"/>
        </w:rPr>
        <w:t>»</w:t>
      </w:r>
      <w:r w:rsidR="00C57AC0" w:rsidRPr="005A44F3">
        <w:rPr>
          <w:rFonts w:ascii="Bookman Old Style" w:eastAsia="Times New Roman" w:hAnsi="Bookman Old Style" w:cs="Arial"/>
          <w:b/>
          <w:bCs/>
          <w:color w:val="000000"/>
          <w:sz w:val="28"/>
          <w:szCs w:val="28"/>
          <w:lang w:val="el-GR" w:bidi="he-IL"/>
        </w:rPr>
        <w:t>, 5η έκδοση</w:t>
      </w:r>
      <w:r w:rsidR="00C57AC0" w:rsidRPr="00945866">
        <w:rPr>
          <w:rFonts w:ascii="Bookman Old Style" w:eastAsia="Times New Roman" w:hAnsi="Bookman Old Style" w:cs="Arial"/>
          <w:i/>
          <w:iCs/>
          <w:color w:val="000000"/>
          <w:sz w:val="28"/>
          <w:szCs w:val="28"/>
          <w:lang w:val="el-GR" w:bidi="he-IL"/>
        </w:rPr>
        <w:t>, σελ. 666</w:t>
      </w:r>
      <w:r w:rsidR="005A44F3">
        <w:rPr>
          <w:rFonts w:ascii="Bookman Old Style" w:eastAsia="Times New Roman" w:hAnsi="Bookman Old Style" w:cs="Arial"/>
          <w:i/>
          <w:iCs/>
          <w:color w:val="000000"/>
          <w:sz w:val="28"/>
          <w:szCs w:val="28"/>
          <w:lang w:val="el-GR" w:bidi="he-IL"/>
        </w:rPr>
        <w:t xml:space="preserve">, </w:t>
      </w:r>
      <w:r w:rsidR="00C57AC0" w:rsidRPr="005A44F3">
        <w:rPr>
          <w:rFonts w:ascii="Bookman Old Style" w:eastAsia="Times New Roman" w:hAnsi="Bookman Old Style"/>
          <w:color w:val="000000"/>
          <w:sz w:val="28"/>
          <w:szCs w:val="28"/>
          <w:lang w:val="el-GR"/>
        </w:rPr>
        <w:t>σύμφων</w:t>
      </w:r>
      <w:r w:rsidR="00C57AC0">
        <w:rPr>
          <w:rFonts w:ascii="Bookman Old Style" w:eastAsia="Times New Roman" w:hAnsi="Bookman Old Style"/>
          <w:color w:val="000000"/>
          <w:sz w:val="28"/>
          <w:szCs w:val="28"/>
          <w:lang w:val="el-GR"/>
        </w:rPr>
        <w:t>α με το οποίο</w:t>
      </w:r>
      <w:r w:rsidR="00C57AC0" w:rsidRPr="00C57AC0">
        <w:rPr>
          <w:rFonts w:ascii="Bookman Old Style" w:eastAsia="Times New Roman" w:hAnsi="Bookman Old Style"/>
          <w:color w:val="000000"/>
          <w:sz w:val="28"/>
          <w:szCs w:val="28"/>
          <w:lang w:val="el-GR"/>
        </w:rPr>
        <w:t>:</w:t>
      </w:r>
    </w:p>
    <w:p w14:paraId="40899A79" w14:textId="2C711BEA" w:rsidR="005A44F3" w:rsidRPr="00E37088" w:rsidRDefault="005A44F3" w:rsidP="005A44F3">
      <w:pPr>
        <w:spacing w:before="120" w:after="420"/>
        <w:ind w:left="851"/>
        <w:jc w:val="both"/>
        <w:rPr>
          <w:rFonts w:ascii="Bookman Old Style" w:eastAsia="Times New Roman" w:hAnsi="Bookman Old Style" w:cs="Arial"/>
          <w:i/>
          <w:iCs/>
          <w:color w:val="000000"/>
          <w:sz w:val="28"/>
          <w:szCs w:val="28"/>
          <w:lang w:bidi="he-IL"/>
        </w:rPr>
      </w:pPr>
      <w:r w:rsidRPr="005A44F3">
        <w:rPr>
          <w:rFonts w:ascii="Bookman Old Style" w:eastAsia="Times New Roman" w:hAnsi="Bookman Old Style" w:cs="Arial"/>
          <w:i/>
          <w:iCs/>
          <w:color w:val="000000"/>
          <w:sz w:val="28"/>
          <w:szCs w:val="28"/>
          <w:lang w:bidi="he-IL"/>
        </w:rPr>
        <w:t xml:space="preserve">«It has been pointed out earlier that though breach of natural justice is sometimes treated as a species of defect of jurisdiction, it is </w:t>
      </w:r>
      <w:proofErr w:type="spellStart"/>
      <w:r w:rsidRPr="005A44F3">
        <w:rPr>
          <w:rFonts w:ascii="Bookman Old Style" w:eastAsia="Times New Roman" w:hAnsi="Bookman Old Style" w:cs="Arial"/>
          <w:i/>
          <w:iCs/>
          <w:color w:val="000000"/>
          <w:sz w:val="28"/>
          <w:szCs w:val="28"/>
          <w:lang w:bidi="he-IL"/>
        </w:rPr>
        <w:t>recognised</w:t>
      </w:r>
      <w:proofErr w:type="spellEnd"/>
      <w:r w:rsidRPr="005A44F3">
        <w:rPr>
          <w:rFonts w:ascii="Bookman Old Style" w:eastAsia="Times New Roman" w:hAnsi="Bookman Old Style" w:cs="Arial"/>
          <w:i/>
          <w:iCs/>
          <w:color w:val="000000"/>
          <w:sz w:val="28"/>
          <w:szCs w:val="28"/>
          <w:lang w:bidi="he-IL"/>
        </w:rPr>
        <w:t xml:space="preserve"> as an independent ground for issue of certiorari. Certiorari will lie where a judicial or quasi-judicial authority has violated the principles of natural justice even though the authority has acted within its </w:t>
      </w:r>
      <w:proofErr w:type="gramStart"/>
      <w:r w:rsidR="00F930DD" w:rsidRPr="005A44F3">
        <w:rPr>
          <w:rFonts w:ascii="Bookman Old Style" w:eastAsia="Times New Roman" w:hAnsi="Bookman Old Style" w:cs="Arial"/>
          <w:i/>
          <w:iCs/>
          <w:color w:val="000000"/>
          <w:sz w:val="28"/>
          <w:szCs w:val="28"/>
          <w:lang w:bidi="he-IL"/>
        </w:rPr>
        <w:t>jurisdiction.»</w:t>
      </w:r>
      <w:proofErr w:type="gramEnd"/>
      <w:r w:rsidR="00E37088" w:rsidRPr="00E37088">
        <w:rPr>
          <w:rFonts w:ascii="Bookman Old Style" w:eastAsia="Times New Roman" w:hAnsi="Bookman Old Style" w:cs="Arial"/>
          <w:i/>
          <w:iCs/>
          <w:color w:val="000000"/>
          <w:sz w:val="28"/>
          <w:szCs w:val="28"/>
          <w:lang w:bidi="he-IL"/>
        </w:rPr>
        <w:t xml:space="preserve">   </w:t>
      </w:r>
    </w:p>
    <w:p w14:paraId="396742F9" w14:textId="0E5E23F2" w:rsidR="005D40B9" w:rsidRDefault="00C57AC0" w:rsidP="00E37088">
      <w:pPr>
        <w:tabs>
          <w:tab w:val="left" w:pos="567"/>
        </w:tabs>
        <w:spacing w:before="240" w:after="160" w:line="480" w:lineRule="auto"/>
        <w:jc w:val="both"/>
        <w:rPr>
          <w:rFonts w:ascii="Bookman Old Style" w:eastAsia="Times New Roman" w:hAnsi="Bookman Old Style"/>
          <w:color w:val="000000"/>
          <w:sz w:val="28"/>
          <w:szCs w:val="28"/>
          <w:lang w:val="el-GR"/>
        </w:rPr>
      </w:pPr>
      <w:r w:rsidRPr="00A616EB">
        <w:rPr>
          <w:rFonts w:ascii="Bookman Old Style" w:eastAsia="Times New Roman" w:hAnsi="Bookman Old Style"/>
          <w:color w:val="000000"/>
          <w:sz w:val="28"/>
          <w:szCs w:val="28"/>
        </w:rPr>
        <w:t xml:space="preserve"> </w:t>
      </w:r>
      <w:r w:rsidR="005D40B9" w:rsidRPr="00A616EB">
        <w:rPr>
          <w:rFonts w:ascii="Bookman Old Style" w:eastAsia="Times New Roman" w:hAnsi="Bookman Old Style"/>
          <w:color w:val="000000"/>
          <w:sz w:val="28"/>
          <w:szCs w:val="28"/>
        </w:rPr>
        <w:tab/>
      </w:r>
      <w:r w:rsidR="00A128F3">
        <w:rPr>
          <w:rFonts w:ascii="Bookman Old Style" w:eastAsia="Times New Roman" w:hAnsi="Bookman Old Style"/>
          <w:color w:val="000000"/>
          <w:sz w:val="28"/>
          <w:szCs w:val="28"/>
          <w:lang w:val="el-GR"/>
        </w:rPr>
        <w:t xml:space="preserve">Στην </w:t>
      </w:r>
      <w:r w:rsidR="00E37088">
        <w:rPr>
          <w:rFonts w:ascii="Bookman Old Style" w:eastAsia="Times New Roman" w:hAnsi="Bookman Old Style"/>
          <w:color w:val="000000"/>
          <w:sz w:val="28"/>
          <w:szCs w:val="28"/>
          <w:lang w:val="el-GR"/>
        </w:rPr>
        <w:t>υπό</w:t>
      </w:r>
      <w:r w:rsidR="00A128F3">
        <w:rPr>
          <w:rFonts w:ascii="Bookman Old Style" w:eastAsia="Times New Roman" w:hAnsi="Bookman Old Style"/>
          <w:color w:val="000000"/>
          <w:sz w:val="28"/>
          <w:szCs w:val="28"/>
          <w:lang w:val="el-GR"/>
        </w:rPr>
        <w:t xml:space="preserve"> συζήτηση περίπτωση, </w:t>
      </w:r>
      <w:r w:rsidR="00F930DD">
        <w:rPr>
          <w:rFonts w:ascii="Bookman Old Style" w:eastAsia="Times New Roman" w:hAnsi="Bookman Old Style"/>
          <w:color w:val="000000"/>
          <w:sz w:val="28"/>
          <w:szCs w:val="28"/>
          <w:lang w:val="el-GR"/>
        </w:rPr>
        <w:t xml:space="preserve">η </w:t>
      </w:r>
      <w:proofErr w:type="spellStart"/>
      <w:r w:rsidR="00F930DD">
        <w:rPr>
          <w:rFonts w:ascii="Bookman Old Style" w:eastAsia="Times New Roman" w:hAnsi="Bookman Old Style"/>
          <w:color w:val="000000"/>
          <w:sz w:val="28"/>
          <w:szCs w:val="28"/>
          <w:lang w:val="el-GR"/>
        </w:rPr>
        <w:t>παραχωρηθείσα</w:t>
      </w:r>
      <w:proofErr w:type="spellEnd"/>
      <w:r w:rsidR="00F930DD">
        <w:rPr>
          <w:rFonts w:ascii="Bookman Old Style" w:eastAsia="Times New Roman" w:hAnsi="Bookman Old Style"/>
          <w:color w:val="000000"/>
          <w:sz w:val="28"/>
          <w:szCs w:val="28"/>
          <w:lang w:val="el-GR"/>
        </w:rPr>
        <w:t xml:space="preserve"> </w:t>
      </w:r>
      <w:r w:rsidR="00A128F3">
        <w:rPr>
          <w:rFonts w:ascii="Bookman Old Style" w:eastAsia="Times New Roman" w:hAnsi="Bookman Old Style"/>
          <w:color w:val="000000"/>
          <w:sz w:val="28"/>
          <w:szCs w:val="28"/>
          <w:lang w:val="el-GR"/>
        </w:rPr>
        <w:t>άδεια για την προώθηση σχετικής δια κλήσεως αίτησης</w:t>
      </w:r>
      <w:r w:rsidR="00347455">
        <w:rPr>
          <w:rFonts w:ascii="Bookman Old Style" w:eastAsia="Times New Roman" w:hAnsi="Bookman Old Style"/>
          <w:color w:val="000000"/>
          <w:sz w:val="28"/>
          <w:szCs w:val="28"/>
          <w:lang w:val="el-GR"/>
        </w:rPr>
        <w:t>,</w:t>
      </w:r>
      <w:r w:rsidR="00A128F3">
        <w:rPr>
          <w:rFonts w:ascii="Bookman Old Style" w:eastAsia="Times New Roman" w:hAnsi="Bookman Old Style"/>
          <w:color w:val="000000"/>
          <w:sz w:val="28"/>
          <w:szCs w:val="28"/>
          <w:lang w:val="el-GR"/>
        </w:rPr>
        <w:t xml:space="preserve"> </w:t>
      </w:r>
      <w:r w:rsidR="00F930DD">
        <w:rPr>
          <w:rFonts w:ascii="Bookman Old Style" w:eastAsia="Times New Roman" w:hAnsi="Bookman Old Style"/>
          <w:color w:val="000000"/>
          <w:sz w:val="28"/>
          <w:szCs w:val="28"/>
          <w:lang w:val="el-GR"/>
        </w:rPr>
        <w:t xml:space="preserve">συναρτήθηκε αποκλειστικά </w:t>
      </w:r>
      <w:r w:rsidR="00347455">
        <w:rPr>
          <w:rFonts w:ascii="Bookman Old Style" w:eastAsia="Times New Roman" w:hAnsi="Bookman Old Style"/>
          <w:color w:val="000000"/>
          <w:sz w:val="28"/>
          <w:szCs w:val="28"/>
          <w:lang w:val="el-GR"/>
        </w:rPr>
        <w:t>με το προβαλλόμενο ζήτημα της παραβίασης των αρχών της φυσικής δικαιοσύνης. Συνακόλουθα, δεν μπορεί να απασχολήσ</w:t>
      </w:r>
      <w:r w:rsidR="00BF3F1A">
        <w:rPr>
          <w:rFonts w:ascii="Bookman Old Style" w:eastAsia="Times New Roman" w:hAnsi="Bookman Old Style"/>
          <w:color w:val="000000"/>
          <w:sz w:val="28"/>
          <w:szCs w:val="28"/>
          <w:lang w:val="el-GR"/>
        </w:rPr>
        <w:t xml:space="preserve">ουν ζητήματα όπως </w:t>
      </w:r>
      <w:r w:rsidR="005D40B9">
        <w:rPr>
          <w:rFonts w:ascii="Bookman Old Style" w:eastAsia="Times New Roman" w:hAnsi="Bookman Old Style"/>
          <w:color w:val="000000"/>
          <w:sz w:val="28"/>
          <w:szCs w:val="28"/>
          <w:lang w:val="el-GR"/>
        </w:rPr>
        <w:t>ο έλεγχος της ορθότητας της προσέγγισης του κατώτερου Δικαστηρίου όσον αφορά το εύρος της εφαρμογής του άρθρου 124</w:t>
      </w:r>
      <w:r w:rsidR="005A44F3">
        <w:rPr>
          <w:rFonts w:ascii="Bookman Old Style" w:eastAsia="Times New Roman" w:hAnsi="Bookman Old Style"/>
          <w:color w:val="000000"/>
          <w:sz w:val="28"/>
          <w:szCs w:val="28"/>
          <w:lang w:val="el-GR"/>
        </w:rPr>
        <w:t>Α</w:t>
      </w:r>
      <w:r w:rsidR="005D40B9">
        <w:rPr>
          <w:rFonts w:ascii="Bookman Old Style" w:eastAsia="Times New Roman" w:hAnsi="Bookman Old Style"/>
          <w:color w:val="000000"/>
          <w:sz w:val="28"/>
          <w:szCs w:val="28"/>
          <w:lang w:val="el-GR"/>
        </w:rPr>
        <w:t xml:space="preserve"> του Περί Ποινικής Δικονομίας Νόμου</w:t>
      </w:r>
      <w:r w:rsidR="005A44F3">
        <w:rPr>
          <w:rFonts w:ascii="Bookman Old Style" w:eastAsia="Times New Roman" w:hAnsi="Bookman Old Style"/>
          <w:color w:val="000000"/>
          <w:sz w:val="28"/>
          <w:szCs w:val="28"/>
          <w:lang w:val="el-GR"/>
        </w:rPr>
        <w:t>, Κεφ.155</w:t>
      </w:r>
      <w:r w:rsidR="00F930DD">
        <w:rPr>
          <w:rFonts w:ascii="Bookman Old Style" w:eastAsia="Times New Roman" w:hAnsi="Bookman Old Style"/>
          <w:color w:val="000000"/>
          <w:sz w:val="28"/>
          <w:szCs w:val="28"/>
          <w:lang w:val="el-GR"/>
        </w:rPr>
        <w:t>, ούτε</w:t>
      </w:r>
      <w:r w:rsidR="000D7930">
        <w:rPr>
          <w:rFonts w:ascii="Bookman Old Style" w:eastAsia="Times New Roman" w:hAnsi="Bookman Old Style"/>
          <w:color w:val="000000"/>
          <w:sz w:val="28"/>
          <w:szCs w:val="28"/>
          <w:lang w:val="el-GR"/>
        </w:rPr>
        <w:t xml:space="preserve"> </w:t>
      </w:r>
      <w:r w:rsidR="00826D4F">
        <w:rPr>
          <w:rFonts w:ascii="Bookman Old Style" w:eastAsia="Times New Roman" w:hAnsi="Bookman Old Style"/>
          <w:color w:val="000000"/>
          <w:sz w:val="28"/>
          <w:szCs w:val="28"/>
          <w:lang w:val="el-GR"/>
        </w:rPr>
        <w:t xml:space="preserve">της </w:t>
      </w:r>
      <w:r w:rsidR="005D40B9">
        <w:rPr>
          <w:rFonts w:ascii="Bookman Old Style" w:eastAsia="Times New Roman" w:hAnsi="Bookman Old Style"/>
          <w:color w:val="000000"/>
          <w:sz w:val="28"/>
          <w:szCs w:val="28"/>
          <w:lang w:val="el-GR"/>
        </w:rPr>
        <w:t>εφαρμογή</w:t>
      </w:r>
      <w:r w:rsidR="000D7930">
        <w:rPr>
          <w:rFonts w:ascii="Bookman Old Style" w:eastAsia="Times New Roman" w:hAnsi="Bookman Old Style"/>
          <w:color w:val="000000"/>
          <w:sz w:val="28"/>
          <w:szCs w:val="28"/>
          <w:lang w:val="el-GR"/>
        </w:rPr>
        <w:t>ς</w:t>
      </w:r>
      <w:r w:rsidR="005D40B9">
        <w:rPr>
          <w:rFonts w:ascii="Bookman Old Style" w:eastAsia="Times New Roman" w:hAnsi="Bookman Old Style"/>
          <w:color w:val="000000"/>
          <w:sz w:val="28"/>
          <w:szCs w:val="28"/>
          <w:lang w:val="el-GR"/>
        </w:rPr>
        <w:t xml:space="preserve"> </w:t>
      </w:r>
      <w:r w:rsidR="005A44F3">
        <w:rPr>
          <w:rFonts w:ascii="Bookman Old Style" w:eastAsia="Times New Roman" w:hAnsi="Bookman Old Style"/>
          <w:color w:val="000000"/>
          <w:sz w:val="28"/>
          <w:szCs w:val="28"/>
          <w:lang w:val="el-GR"/>
        </w:rPr>
        <w:t>ή μη</w:t>
      </w:r>
      <w:r w:rsidR="00BF3F1A">
        <w:rPr>
          <w:rFonts w:ascii="Bookman Old Style" w:eastAsia="Times New Roman" w:hAnsi="Bookman Old Style"/>
          <w:color w:val="000000"/>
          <w:sz w:val="28"/>
          <w:szCs w:val="28"/>
          <w:lang w:val="el-GR"/>
        </w:rPr>
        <w:t>,</w:t>
      </w:r>
      <w:r w:rsidR="005A44F3">
        <w:rPr>
          <w:rFonts w:ascii="Bookman Old Style" w:eastAsia="Times New Roman" w:hAnsi="Bookman Old Style"/>
          <w:color w:val="000000"/>
          <w:sz w:val="28"/>
          <w:szCs w:val="28"/>
          <w:lang w:val="el-GR"/>
        </w:rPr>
        <w:t xml:space="preserve"> </w:t>
      </w:r>
      <w:r w:rsidR="00552DC4">
        <w:rPr>
          <w:rFonts w:ascii="Bookman Old Style" w:eastAsia="Times New Roman" w:hAnsi="Bookman Old Style"/>
          <w:color w:val="000000"/>
          <w:sz w:val="28"/>
          <w:szCs w:val="28"/>
          <w:lang w:val="el-GR"/>
        </w:rPr>
        <w:t>υπό</w:t>
      </w:r>
      <w:r w:rsidR="000D7930">
        <w:rPr>
          <w:rFonts w:ascii="Bookman Old Style" w:eastAsia="Times New Roman" w:hAnsi="Bookman Old Style"/>
          <w:color w:val="000000"/>
          <w:sz w:val="28"/>
          <w:szCs w:val="28"/>
          <w:lang w:val="el-GR"/>
        </w:rPr>
        <w:t xml:space="preserve"> τις περιστάσεις που περιβάλλουν την </w:t>
      </w:r>
      <w:r w:rsidR="005D40B9">
        <w:rPr>
          <w:rFonts w:ascii="Bookman Old Style" w:eastAsia="Times New Roman" w:hAnsi="Bookman Old Style"/>
          <w:color w:val="000000"/>
          <w:sz w:val="28"/>
          <w:szCs w:val="28"/>
          <w:lang w:val="el-GR"/>
        </w:rPr>
        <w:t>υπό συζήτηση περίπτωση</w:t>
      </w:r>
      <w:r w:rsidR="006A525D">
        <w:rPr>
          <w:rFonts w:ascii="Bookman Old Style" w:eastAsia="Times New Roman" w:hAnsi="Bookman Old Style"/>
          <w:color w:val="000000"/>
          <w:sz w:val="28"/>
          <w:szCs w:val="28"/>
          <w:lang w:val="el-GR"/>
        </w:rPr>
        <w:t>,</w:t>
      </w:r>
      <w:r w:rsidR="005D40B9">
        <w:rPr>
          <w:rFonts w:ascii="Bookman Old Style" w:eastAsia="Times New Roman" w:hAnsi="Bookman Old Style"/>
          <w:color w:val="000000"/>
          <w:sz w:val="28"/>
          <w:szCs w:val="28"/>
          <w:lang w:val="el-GR"/>
        </w:rPr>
        <w:t xml:space="preserve"> των προνοιών του Ευρωπαϊκού Κανονισμού (ΕΚ) 4/2009. Το ζήτημα για το οποίο η </w:t>
      </w:r>
      <w:proofErr w:type="spellStart"/>
      <w:r w:rsidR="005D40B9">
        <w:rPr>
          <w:rFonts w:ascii="Bookman Old Style" w:eastAsia="Times New Roman" w:hAnsi="Bookman Old Style"/>
          <w:color w:val="000000"/>
          <w:sz w:val="28"/>
          <w:szCs w:val="28"/>
          <w:lang w:val="el-GR"/>
        </w:rPr>
        <w:t>Αιτήτρια</w:t>
      </w:r>
      <w:proofErr w:type="spellEnd"/>
      <w:r w:rsidR="005D40B9">
        <w:rPr>
          <w:rFonts w:ascii="Bookman Old Style" w:eastAsia="Times New Roman" w:hAnsi="Bookman Old Style"/>
          <w:color w:val="000000"/>
          <w:sz w:val="28"/>
          <w:szCs w:val="28"/>
          <w:lang w:val="el-GR"/>
        </w:rPr>
        <w:t xml:space="preserve"> </w:t>
      </w:r>
      <w:r w:rsidR="00BF3F1A">
        <w:rPr>
          <w:rFonts w:ascii="Bookman Old Style" w:eastAsia="Times New Roman" w:hAnsi="Bookman Old Style"/>
          <w:color w:val="000000"/>
          <w:sz w:val="28"/>
          <w:szCs w:val="28"/>
          <w:lang w:val="el-GR"/>
        </w:rPr>
        <w:t xml:space="preserve">εξασφάλισε άδεια </w:t>
      </w:r>
      <w:r w:rsidR="00F930DD">
        <w:rPr>
          <w:rFonts w:ascii="Bookman Old Style" w:eastAsia="Times New Roman" w:hAnsi="Bookman Old Style"/>
          <w:color w:val="000000"/>
          <w:sz w:val="28"/>
          <w:szCs w:val="28"/>
          <w:lang w:val="el-GR"/>
        </w:rPr>
        <w:t xml:space="preserve">για καταχώρηση της υπό ζήτηση αίτησης, καλώντας </w:t>
      </w:r>
      <w:r w:rsidR="005D40B9">
        <w:rPr>
          <w:rFonts w:ascii="Bookman Old Style" w:eastAsia="Times New Roman" w:hAnsi="Bookman Old Style"/>
          <w:color w:val="000000"/>
          <w:sz w:val="28"/>
          <w:szCs w:val="28"/>
          <w:lang w:val="el-GR"/>
        </w:rPr>
        <w:t>το Δικαστήριο να παρέμβει</w:t>
      </w:r>
      <w:r w:rsidR="006A525D">
        <w:rPr>
          <w:rFonts w:ascii="Bookman Old Style" w:eastAsia="Times New Roman" w:hAnsi="Bookman Old Style"/>
          <w:color w:val="000000"/>
          <w:sz w:val="28"/>
          <w:szCs w:val="28"/>
          <w:lang w:val="el-GR"/>
        </w:rPr>
        <w:t>,</w:t>
      </w:r>
      <w:r w:rsidR="005D40B9">
        <w:rPr>
          <w:rFonts w:ascii="Bookman Old Style" w:eastAsia="Times New Roman" w:hAnsi="Bookman Old Style"/>
          <w:color w:val="000000"/>
          <w:sz w:val="28"/>
          <w:szCs w:val="28"/>
          <w:lang w:val="el-GR"/>
        </w:rPr>
        <w:t xml:space="preserve"> ασκώντας την εξαιρετική </w:t>
      </w:r>
      <w:r w:rsidR="005814BF">
        <w:rPr>
          <w:rFonts w:ascii="Bookman Old Style" w:eastAsia="Times New Roman" w:hAnsi="Bookman Old Style"/>
          <w:color w:val="000000"/>
          <w:sz w:val="28"/>
          <w:szCs w:val="28"/>
          <w:lang w:val="el-GR"/>
        </w:rPr>
        <w:t>δικαιοδοσία που διαθέτει για έκδοση προνομιακών ενταλμάτων</w:t>
      </w:r>
      <w:r w:rsidR="006A525D">
        <w:rPr>
          <w:rFonts w:ascii="Bookman Old Style" w:eastAsia="Times New Roman" w:hAnsi="Bookman Old Style"/>
          <w:color w:val="000000"/>
          <w:sz w:val="28"/>
          <w:szCs w:val="28"/>
          <w:lang w:val="el-GR"/>
        </w:rPr>
        <w:t>,</w:t>
      </w:r>
      <w:r w:rsidR="005814BF">
        <w:rPr>
          <w:rFonts w:ascii="Bookman Old Style" w:eastAsia="Times New Roman" w:hAnsi="Bookman Old Style"/>
          <w:color w:val="000000"/>
          <w:sz w:val="28"/>
          <w:szCs w:val="28"/>
          <w:lang w:val="el-GR"/>
        </w:rPr>
        <w:t xml:space="preserve"> επικεντρώνεται </w:t>
      </w:r>
      <w:r w:rsidR="006A525D">
        <w:rPr>
          <w:rFonts w:ascii="Bookman Old Style" w:eastAsia="Times New Roman" w:hAnsi="Bookman Old Style"/>
          <w:color w:val="000000"/>
          <w:sz w:val="28"/>
          <w:szCs w:val="28"/>
          <w:lang w:val="el-GR"/>
        </w:rPr>
        <w:t xml:space="preserve">στην παραβίαση των κανόνων της φυσικής δικαιοσύνης. Ειδικότερα, </w:t>
      </w:r>
      <w:r w:rsidR="005814BF">
        <w:rPr>
          <w:rFonts w:ascii="Bookman Old Style" w:eastAsia="Times New Roman" w:hAnsi="Bookman Old Style"/>
          <w:color w:val="000000"/>
          <w:sz w:val="28"/>
          <w:szCs w:val="28"/>
          <w:lang w:val="el-GR"/>
        </w:rPr>
        <w:t xml:space="preserve">στο γεγονός ότι πριν από την καταλυτική </w:t>
      </w:r>
      <w:r w:rsidR="005814BF">
        <w:rPr>
          <w:rFonts w:ascii="Bookman Old Style" w:eastAsia="Times New Roman" w:hAnsi="Bookman Old Style"/>
          <w:color w:val="000000"/>
          <w:sz w:val="28"/>
          <w:szCs w:val="28"/>
          <w:lang w:val="el-GR"/>
        </w:rPr>
        <w:lastRenderedPageBreak/>
        <w:t xml:space="preserve">για το αίτημα της παρέμβαση του Δικαστηρίου, ως </w:t>
      </w:r>
      <w:r w:rsidR="000D7930">
        <w:rPr>
          <w:rFonts w:ascii="Bookman Old Style" w:eastAsia="Times New Roman" w:hAnsi="Bookman Old Style"/>
          <w:color w:val="000000"/>
          <w:sz w:val="28"/>
          <w:szCs w:val="28"/>
          <w:lang w:val="el-GR"/>
        </w:rPr>
        <w:t xml:space="preserve">αυτή </w:t>
      </w:r>
      <w:r w:rsidR="005814BF">
        <w:rPr>
          <w:rFonts w:ascii="Bookman Old Style" w:eastAsia="Times New Roman" w:hAnsi="Bookman Old Style"/>
          <w:color w:val="000000"/>
          <w:sz w:val="28"/>
          <w:szCs w:val="28"/>
          <w:lang w:val="el-GR"/>
        </w:rPr>
        <w:t>αποτυπώνεται στο πρακτικό ημερομηνίας 27.</w:t>
      </w:r>
      <w:r w:rsidR="006A525D">
        <w:rPr>
          <w:rFonts w:ascii="Bookman Old Style" w:eastAsia="Times New Roman" w:hAnsi="Bookman Old Style"/>
          <w:color w:val="000000"/>
          <w:sz w:val="28"/>
          <w:szCs w:val="28"/>
          <w:lang w:val="el-GR"/>
        </w:rPr>
        <w:t>0</w:t>
      </w:r>
      <w:r w:rsidR="005814BF">
        <w:rPr>
          <w:rFonts w:ascii="Bookman Old Style" w:eastAsia="Times New Roman" w:hAnsi="Bookman Old Style"/>
          <w:color w:val="000000"/>
          <w:sz w:val="28"/>
          <w:szCs w:val="28"/>
          <w:lang w:val="el-GR"/>
        </w:rPr>
        <w:t xml:space="preserve">9.2023, δεν </w:t>
      </w:r>
      <w:r w:rsidR="006A525D">
        <w:rPr>
          <w:rFonts w:ascii="Bookman Old Style" w:eastAsia="Times New Roman" w:hAnsi="Bookman Old Style"/>
          <w:color w:val="000000"/>
          <w:sz w:val="28"/>
          <w:szCs w:val="28"/>
          <w:lang w:val="el-GR"/>
        </w:rPr>
        <w:t xml:space="preserve">επετράπη </w:t>
      </w:r>
      <w:r w:rsidR="005814BF">
        <w:rPr>
          <w:rFonts w:ascii="Bookman Old Style" w:eastAsia="Times New Roman" w:hAnsi="Bookman Old Style"/>
          <w:color w:val="000000"/>
          <w:sz w:val="28"/>
          <w:szCs w:val="28"/>
          <w:lang w:val="el-GR"/>
        </w:rPr>
        <w:t>στην πλευρά τ</w:t>
      </w:r>
      <w:r w:rsidR="006A525D">
        <w:rPr>
          <w:rFonts w:ascii="Bookman Old Style" w:eastAsia="Times New Roman" w:hAnsi="Bookman Old Style"/>
          <w:color w:val="000000"/>
          <w:sz w:val="28"/>
          <w:szCs w:val="28"/>
          <w:lang w:val="el-GR"/>
        </w:rPr>
        <w:t xml:space="preserve">ης </w:t>
      </w:r>
      <w:proofErr w:type="spellStart"/>
      <w:r w:rsidR="006A525D">
        <w:rPr>
          <w:rFonts w:ascii="Bookman Old Style" w:eastAsia="Times New Roman" w:hAnsi="Bookman Old Style"/>
          <w:color w:val="000000"/>
          <w:sz w:val="28"/>
          <w:szCs w:val="28"/>
          <w:lang w:val="el-GR"/>
        </w:rPr>
        <w:t>Αιτήτριας</w:t>
      </w:r>
      <w:proofErr w:type="spellEnd"/>
      <w:r w:rsidR="006A525D">
        <w:rPr>
          <w:rFonts w:ascii="Bookman Old Style" w:eastAsia="Times New Roman" w:hAnsi="Bookman Old Style"/>
          <w:color w:val="000000"/>
          <w:sz w:val="28"/>
          <w:szCs w:val="28"/>
          <w:lang w:val="el-GR"/>
        </w:rPr>
        <w:t xml:space="preserve"> </w:t>
      </w:r>
      <w:r w:rsidR="005814BF">
        <w:rPr>
          <w:rFonts w:ascii="Bookman Old Style" w:eastAsia="Times New Roman" w:hAnsi="Bookman Old Style"/>
          <w:color w:val="000000"/>
          <w:sz w:val="28"/>
          <w:szCs w:val="28"/>
          <w:lang w:val="el-GR"/>
        </w:rPr>
        <w:t xml:space="preserve">να ακουστεί επί του ζητήματος. </w:t>
      </w:r>
    </w:p>
    <w:p w14:paraId="0715B609" w14:textId="4196C0C2" w:rsidR="005814BF" w:rsidRDefault="005814BF" w:rsidP="00E37088">
      <w:pPr>
        <w:tabs>
          <w:tab w:val="left" w:pos="567"/>
        </w:tabs>
        <w:spacing w:before="240" w:after="16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sidR="006A525D">
        <w:rPr>
          <w:rFonts w:ascii="Bookman Old Style" w:eastAsia="Times New Roman" w:hAnsi="Bookman Old Style"/>
          <w:color w:val="000000"/>
          <w:sz w:val="28"/>
          <w:szCs w:val="28"/>
          <w:lang w:val="el-GR"/>
        </w:rPr>
        <w:t xml:space="preserve">Είναι γεγονός ότι </w:t>
      </w:r>
      <w:r>
        <w:rPr>
          <w:rFonts w:ascii="Bookman Old Style" w:eastAsia="Times New Roman" w:hAnsi="Bookman Old Style"/>
          <w:color w:val="000000"/>
          <w:sz w:val="28"/>
          <w:szCs w:val="28"/>
          <w:lang w:val="el-GR"/>
        </w:rPr>
        <w:t xml:space="preserve">πριν από την δραστική παρέμβαση/απόφαση του κατώτερου Δικαστηρίου, </w:t>
      </w:r>
      <w:r w:rsidR="005A44F3">
        <w:rPr>
          <w:rFonts w:ascii="Bookman Old Style" w:eastAsia="Times New Roman" w:hAnsi="Bookman Old Style"/>
          <w:color w:val="000000"/>
          <w:sz w:val="28"/>
          <w:szCs w:val="28"/>
          <w:lang w:val="el-GR"/>
        </w:rPr>
        <w:t xml:space="preserve">ως αυτή αποτυπώνεται στο πρακτικό </w:t>
      </w:r>
      <w:r w:rsidR="008B5A22">
        <w:rPr>
          <w:rFonts w:ascii="Bookman Old Style" w:eastAsia="Times New Roman" w:hAnsi="Bookman Old Style"/>
          <w:color w:val="000000"/>
          <w:sz w:val="28"/>
          <w:szCs w:val="28"/>
          <w:lang w:val="el-GR"/>
        </w:rPr>
        <w:t xml:space="preserve">ημερομηνίας 27.09.2023, </w:t>
      </w:r>
      <w:r>
        <w:rPr>
          <w:rFonts w:ascii="Bookman Old Style" w:eastAsia="Times New Roman" w:hAnsi="Bookman Old Style"/>
          <w:color w:val="000000"/>
          <w:sz w:val="28"/>
          <w:szCs w:val="28"/>
          <w:lang w:val="el-GR"/>
        </w:rPr>
        <w:t xml:space="preserve">η οποία ουσιαστικά καθόρισε και την τύχη του αιτήματος για έκδοση εντάλματος φυλάκισης εναντίον του </w:t>
      </w:r>
      <w:r w:rsidR="00F930DD">
        <w:rPr>
          <w:rFonts w:ascii="Bookman Old Style" w:eastAsia="Times New Roman" w:hAnsi="Bookman Old Style"/>
          <w:color w:val="000000"/>
          <w:sz w:val="28"/>
          <w:szCs w:val="28"/>
          <w:lang w:val="el-GR"/>
        </w:rPr>
        <w:t xml:space="preserve">καθ’ ου η αίτηση </w:t>
      </w:r>
      <w:r>
        <w:rPr>
          <w:rFonts w:ascii="Bookman Old Style" w:eastAsia="Times New Roman" w:hAnsi="Bookman Old Style"/>
          <w:color w:val="000000"/>
          <w:sz w:val="28"/>
          <w:szCs w:val="28"/>
          <w:lang w:val="el-GR"/>
        </w:rPr>
        <w:t xml:space="preserve">για καθυστερημένες δόσεις, δεν δόθηκε η ευκαιρία στην πλευρά της </w:t>
      </w:r>
      <w:proofErr w:type="spellStart"/>
      <w:r>
        <w:rPr>
          <w:rFonts w:ascii="Bookman Old Style" w:eastAsia="Times New Roman" w:hAnsi="Bookman Old Style"/>
          <w:color w:val="000000"/>
          <w:sz w:val="28"/>
          <w:szCs w:val="28"/>
          <w:lang w:val="el-GR"/>
        </w:rPr>
        <w:t>Αιτήτριας</w:t>
      </w:r>
      <w:proofErr w:type="spellEnd"/>
      <w:r>
        <w:rPr>
          <w:rFonts w:ascii="Bookman Old Style" w:eastAsia="Times New Roman" w:hAnsi="Bookman Old Style"/>
          <w:color w:val="000000"/>
          <w:sz w:val="28"/>
          <w:szCs w:val="28"/>
          <w:lang w:val="el-GR"/>
        </w:rPr>
        <w:t xml:space="preserve"> να απευθυνθεί στο Δικαστήριο και να εκθέσει τις απόψεις της για το ζήτημα που </w:t>
      </w:r>
      <w:r w:rsidR="008B5A22">
        <w:rPr>
          <w:rFonts w:ascii="Bookman Old Style" w:eastAsia="Times New Roman" w:hAnsi="Bookman Old Style"/>
          <w:color w:val="000000"/>
          <w:sz w:val="28"/>
          <w:szCs w:val="28"/>
          <w:lang w:val="el-GR"/>
        </w:rPr>
        <w:t xml:space="preserve">τέθηκε υπόψη του και </w:t>
      </w:r>
      <w:r>
        <w:rPr>
          <w:rFonts w:ascii="Bookman Old Style" w:eastAsia="Times New Roman" w:hAnsi="Bookman Old Style"/>
          <w:color w:val="000000"/>
          <w:sz w:val="28"/>
          <w:szCs w:val="28"/>
          <w:lang w:val="el-GR"/>
        </w:rPr>
        <w:t xml:space="preserve">για το οποίο </w:t>
      </w:r>
      <w:r w:rsidR="008B5A22">
        <w:rPr>
          <w:rFonts w:ascii="Bookman Old Style" w:eastAsia="Times New Roman" w:hAnsi="Bookman Old Style"/>
          <w:color w:val="000000"/>
          <w:sz w:val="28"/>
          <w:szCs w:val="28"/>
          <w:lang w:val="el-GR"/>
        </w:rPr>
        <w:t xml:space="preserve">αποφάνθηκε </w:t>
      </w:r>
      <w:r>
        <w:rPr>
          <w:rFonts w:ascii="Bookman Old Style" w:eastAsia="Times New Roman" w:hAnsi="Bookman Old Style"/>
          <w:color w:val="000000"/>
          <w:sz w:val="28"/>
          <w:szCs w:val="28"/>
          <w:lang w:val="el-GR"/>
        </w:rPr>
        <w:t>το κατώτερο Δικαστήριο. Επαναλαμβάνεται, φορτικά ίσως, πως ό,τι εδώ απασχολεί</w:t>
      </w:r>
      <w:r w:rsidR="008B5A22">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δεν είναι η ορθότητα ή μη της προσέγγισης του κατώτερου Δικαστηρίου επί του συγκεκριμένου ζητήματος</w:t>
      </w:r>
      <w:r w:rsidR="008B5A22">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αν και κατά πόσο δηλαδή η υπόδειξη </w:t>
      </w:r>
      <w:r w:rsidR="008B5A22">
        <w:rPr>
          <w:rFonts w:ascii="Bookman Old Style" w:eastAsia="Times New Roman" w:hAnsi="Bookman Old Style"/>
          <w:color w:val="000000"/>
          <w:sz w:val="28"/>
          <w:szCs w:val="28"/>
          <w:lang w:val="el-GR"/>
        </w:rPr>
        <w:t xml:space="preserve">εκ μέρους </w:t>
      </w:r>
      <w:r w:rsidR="00BF3F1A">
        <w:rPr>
          <w:rFonts w:ascii="Bookman Old Style" w:eastAsia="Times New Roman" w:hAnsi="Bookman Old Style"/>
          <w:color w:val="000000"/>
          <w:sz w:val="28"/>
          <w:szCs w:val="28"/>
          <w:lang w:val="el-GR"/>
        </w:rPr>
        <w:t xml:space="preserve">του </w:t>
      </w:r>
      <w:r>
        <w:rPr>
          <w:rFonts w:ascii="Bookman Old Style" w:eastAsia="Times New Roman" w:hAnsi="Bookman Old Style"/>
          <w:color w:val="000000"/>
          <w:sz w:val="28"/>
          <w:szCs w:val="28"/>
          <w:lang w:val="el-GR"/>
        </w:rPr>
        <w:t xml:space="preserve">ότι η διαδικασία που θα έπρεπε να ακολουθηθεί, στη συγκεκριμένη περίπτωση, ήταν </w:t>
      </w:r>
      <w:r w:rsidR="008B5A22">
        <w:rPr>
          <w:rFonts w:ascii="Bookman Old Style" w:eastAsia="Times New Roman" w:hAnsi="Bookman Old Style"/>
          <w:color w:val="000000"/>
          <w:sz w:val="28"/>
          <w:szCs w:val="28"/>
          <w:lang w:val="el-GR"/>
        </w:rPr>
        <w:t xml:space="preserve">ορθή ή λανθασμένη, </w:t>
      </w:r>
      <w:r>
        <w:rPr>
          <w:rFonts w:ascii="Bookman Old Style" w:eastAsia="Times New Roman" w:hAnsi="Bookman Old Style"/>
          <w:color w:val="000000"/>
          <w:sz w:val="28"/>
          <w:szCs w:val="28"/>
          <w:lang w:val="el-GR"/>
        </w:rPr>
        <w:t>αλλά κατά πόσο</w:t>
      </w:r>
      <w:r w:rsidR="006A525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πριν τοποθετηθεί </w:t>
      </w:r>
      <w:r w:rsidR="008B5A22">
        <w:rPr>
          <w:rFonts w:ascii="Bookman Old Style" w:eastAsia="Times New Roman" w:hAnsi="Bookman Old Style"/>
          <w:color w:val="000000"/>
          <w:sz w:val="28"/>
          <w:szCs w:val="28"/>
          <w:lang w:val="el-GR"/>
        </w:rPr>
        <w:t>επ</w:t>
      </w:r>
      <w:r w:rsidR="00BF3F1A">
        <w:rPr>
          <w:rFonts w:ascii="Bookman Old Style" w:eastAsia="Times New Roman" w:hAnsi="Bookman Old Style"/>
          <w:color w:val="000000"/>
          <w:sz w:val="28"/>
          <w:szCs w:val="28"/>
          <w:lang w:val="el-GR"/>
        </w:rPr>
        <w:t>ί</w:t>
      </w:r>
      <w:r w:rsidR="008B5A22">
        <w:rPr>
          <w:rFonts w:ascii="Bookman Old Style" w:eastAsia="Times New Roman" w:hAnsi="Bookman Old Style"/>
          <w:color w:val="000000"/>
          <w:sz w:val="28"/>
          <w:szCs w:val="28"/>
          <w:lang w:val="el-GR"/>
        </w:rPr>
        <w:t xml:space="preserve"> του ζητήματος, κατά τρόπο μάλιστα καθοριστικ</w:t>
      </w:r>
      <w:r w:rsidR="006A525D">
        <w:rPr>
          <w:rFonts w:ascii="Bookman Old Style" w:eastAsia="Times New Roman" w:hAnsi="Bookman Old Style"/>
          <w:color w:val="000000"/>
          <w:sz w:val="28"/>
          <w:szCs w:val="28"/>
          <w:lang w:val="el-GR"/>
        </w:rPr>
        <w:t xml:space="preserve">ό </w:t>
      </w:r>
      <w:r w:rsidR="008B5A22">
        <w:rPr>
          <w:rFonts w:ascii="Bookman Old Style" w:eastAsia="Times New Roman" w:hAnsi="Bookman Old Style"/>
          <w:color w:val="000000"/>
          <w:sz w:val="28"/>
          <w:szCs w:val="28"/>
          <w:lang w:val="el-GR"/>
        </w:rPr>
        <w:t xml:space="preserve">για το αίτημα της </w:t>
      </w:r>
      <w:proofErr w:type="spellStart"/>
      <w:r w:rsidR="008B5A22">
        <w:rPr>
          <w:rFonts w:ascii="Bookman Old Style" w:eastAsia="Times New Roman" w:hAnsi="Bookman Old Style"/>
          <w:color w:val="000000"/>
          <w:sz w:val="28"/>
          <w:szCs w:val="28"/>
          <w:lang w:val="el-GR"/>
        </w:rPr>
        <w:t>Αιτήτριας</w:t>
      </w:r>
      <w:proofErr w:type="spellEnd"/>
      <w:r w:rsidR="008B5A22">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 xml:space="preserve">η </w:t>
      </w:r>
      <w:r w:rsidR="008B5A22">
        <w:rPr>
          <w:rFonts w:ascii="Bookman Old Style" w:eastAsia="Times New Roman" w:hAnsi="Bookman Old Style"/>
          <w:color w:val="000000"/>
          <w:sz w:val="28"/>
          <w:szCs w:val="28"/>
          <w:lang w:val="el-GR"/>
        </w:rPr>
        <w:t>τελευταία</w:t>
      </w:r>
      <w:r w:rsidR="00FE008C">
        <w:rPr>
          <w:rFonts w:ascii="Bookman Old Style" w:eastAsia="Times New Roman" w:hAnsi="Bookman Old Style"/>
          <w:color w:val="000000"/>
          <w:sz w:val="28"/>
          <w:szCs w:val="28"/>
          <w:lang w:val="el-GR"/>
        </w:rPr>
        <w:t>,</w:t>
      </w:r>
      <w:r w:rsidR="008B5A22">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θα έπρεπε να έχει την ευκαιρία</w:t>
      </w:r>
      <w:r w:rsidR="00826D4F">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να προβάλει </w:t>
      </w:r>
      <w:r w:rsidR="00826D4F">
        <w:rPr>
          <w:rFonts w:ascii="Bookman Old Style" w:eastAsia="Times New Roman" w:hAnsi="Bookman Old Style"/>
          <w:color w:val="000000"/>
          <w:sz w:val="28"/>
          <w:szCs w:val="28"/>
          <w:lang w:val="el-GR"/>
        </w:rPr>
        <w:t xml:space="preserve">τουλάχιστον </w:t>
      </w:r>
      <w:r>
        <w:rPr>
          <w:rFonts w:ascii="Bookman Old Style" w:eastAsia="Times New Roman" w:hAnsi="Bookman Old Style"/>
          <w:color w:val="000000"/>
          <w:sz w:val="28"/>
          <w:szCs w:val="28"/>
          <w:lang w:val="el-GR"/>
        </w:rPr>
        <w:t>τις θέσεις της επί το</w:t>
      </w:r>
      <w:r w:rsidR="00BF3F1A">
        <w:rPr>
          <w:rFonts w:ascii="Bookman Old Style" w:eastAsia="Times New Roman" w:hAnsi="Bookman Old Style"/>
          <w:color w:val="000000"/>
          <w:sz w:val="28"/>
          <w:szCs w:val="28"/>
          <w:lang w:val="el-GR"/>
        </w:rPr>
        <w:t xml:space="preserve">ύτου. </w:t>
      </w:r>
      <w:r>
        <w:rPr>
          <w:rFonts w:ascii="Bookman Old Style" w:eastAsia="Times New Roman" w:hAnsi="Bookman Old Style"/>
          <w:color w:val="000000"/>
          <w:sz w:val="28"/>
          <w:szCs w:val="28"/>
          <w:lang w:val="el-GR"/>
        </w:rPr>
        <w:t xml:space="preserve">Παρεμβάλλεται ότι </w:t>
      </w:r>
      <w:r w:rsidR="00826D4F">
        <w:rPr>
          <w:rFonts w:ascii="Bookman Old Style" w:eastAsia="Times New Roman" w:hAnsi="Bookman Old Style"/>
          <w:color w:val="000000"/>
          <w:sz w:val="28"/>
          <w:szCs w:val="28"/>
          <w:lang w:val="el-GR"/>
        </w:rPr>
        <w:t xml:space="preserve">στην </w:t>
      </w:r>
      <w:proofErr w:type="spellStart"/>
      <w:r w:rsidR="00826D4F">
        <w:rPr>
          <w:rFonts w:ascii="Bookman Old Style" w:eastAsia="Times New Roman" w:hAnsi="Bookman Old Style"/>
          <w:color w:val="000000"/>
          <w:sz w:val="28"/>
          <w:szCs w:val="28"/>
          <w:lang w:val="el-GR"/>
        </w:rPr>
        <w:t>Αιτήτρια</w:t>
      </w:r>
      <w:proofErr w:type="spellEnd"/>
      <w:r w:rsidR="00826D4F">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δεν</w:t>
      </w:r>
      <w:r w:rsidR="00826D4F">
        <w:rPr>
          <w:rFonts w:ascii="Bookman Old Style" w:eastAsia="Times New Roman" w:hAnsi="Bookman Old Style"/>
          <w:color w:val="000000"/>
          <w:sz w:val="28"/>
          <w:szCs w:val="28"/>
          <w:lang w:val="el-GR"/>
        </w:rPr>
        <w:t xml:space="preserve"> φαίνεται να γνωστοποιήθηκε </w:t>
      </w:r>
      <w:r w:rsidR="00BF3F1A">
        <w:rPr>
          <w:rFonts w:ascii="Bookman Old Style" w:eastAsia="Times New Roman" w:hAnsi="Bookman Old Style"/>
          <w:color w:val="000000"/>
          <w:sz w:val="28"/>
          <w:szCs w:val="28"/>
          <w:lang w:val="el-GR"/>
        </w:rPr>
        <w:t xml:space="preserve">καν </w:t>
      </w:r>
      <w:r w:rsidR="00FE008C">
        <w:rPr>
          <w:rFonts w:ascii="Bookman Old Style" w:eastAsia="Times New Roman" w:hAnsi="Bookman Old Style"/>
          <w:color w:val="000000"/>
          <w:sz w:val="28"/>
          <w:szCs w:val="28"/>
          <w:lang w:val="el-GR"/>
        </w:rPr>
        <w:t xml:space="preserve">το γεγονός ότι </w:t>
      </w:r>
      <w:r w:rsidR="00826D4F">
        <w:rPr>
          <w:rFonts w:ascii="Bookman Old Style" w:eastAsia="Times New Roman" w:hAnsi="Bookman Old Style"/>
          <w:color w:val="000000"/>
          <w:sz w:val="28"/>
          <w:szCs w:val="28"/>
          <w:lang w:val="el-GR"/>
        </w:rPr>
        <w:t xml:space="preserve">το σχετικό αίτημα της </w:t>
      </w:r>
      <w:r>
        <w:rPr>
          <w:rFonts w:ascii="Bookman Old Style" w:eastAsia="Times New Roman" w:hAnsi="Bookman Old Style"/>
          <w:color w:val="000000"/>
          <w:sz w:val="28"/>
          <w:szCs w:val="28"/>
          <w:lang w:val="el-GR"/>
        </w:rPr>
        <w:t xml:space="preserve">είχε αχθεί από τον Πρωτοκολλητή ενώπιον του </w:t>
      </w:r>
      <w:r>
        <w:rPr>
          <w:rFonts w:ascii="Bookman Old Style" w:eastAsia="Times New Roman" w:hAnsi="Bookman Old Style"/>
          <w:color w:val="000000"/>
          <w:sz w:val="28"/>
          <w:szCs w:val="28"/>
          <w:lang w:val="el-GR"/>
        </w:rPr>
        <w:lastRenderedPageBreak/>
        <w:t>Δικαστηρίου</w:t>
      </w:r>
      <w:r w:rsidR="00826D4F">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FE008C">
        <w:rPr>
          <w:rFonts w:ascii="Bookman Old Style" w:eastAsia="Times New Roman" w:hAnsi="Bookman Old Style"/>
          <w:color w:val="000000"/>
          <w:sz w:val="28"/>
          <w:szCs w:val="28"/>
          <w:lang w:val="el-GR"/>
        </w:rPr>
        <w:t xml:space="preserve">παρέχοντας της την δυνατότητα να ζητήσει να ακουστεί, πριν το </w:t>
      </w:r>
      <w:r w:rsidR="00AF00F4">
        <w:rPr>
          <w:rFonts w:ascii="Bookman Old Style" w:eastAsia="Times New Roman" w:hAnsi="Bookman Old Style"/>
          <w:color w:val="000000"/>
          <w:sz w:val="28"/>
          <w:szCs w:val="28"/>
          <w:lang w:val="el-GR"/>
        </w:rPr>
        <w:t>Δικαστήριο</w:t>
      </w:r>
      <w:r w:rsidR="00FE008C">
        <w:rPr>
          <w:rFonts w:ascii="Bookman Old Style" w:eastAsia="Times New Roman" w:hAnsi="Bookman Old Style"/>
          <w:color w:val="000000"/>
          <w:sz w:val="28"/>
          <w:szCs w:val="28"/>
          <w:lang w:val="el-GR"/>
        </w:rPr>
        <w:t xml:space="preserve"> καθορίσει ουσιαστικά την τύχη του αιτήματ</w:t>
      </w:r>
      <w:r w:rsidR="00AF00F4">
        <w:rPr>
          <w:rFonts w:ascii="Bookman Old Style" w:eastAsia="Times New Roman" w:hAnsi="Bookman Old Style"/>
          <w:color w:val="000000"/>
          <w:sz w:val="28"/>
          <w:szCs w:val="28"/>
          <w:lang w:val="el-GR"/>
        </w:rPr>
        <w:t>ο</w:t>
      </w:r>
      <w:r w:rsidR="00FE008C">
        <w:rPr>
          <w:rFonts w:ascii="Bookman Old Style" w:eastAsia="Times New Roman" w:hAnsi="Bookman Old Style"/>
          <w:color w:val="000000"/>
          <w:sz w:val="28"/>
          <w:szCs w:val="28"/>
          <w:lang w:val="el-GR"/>
        </w:rPr>
        <w:t xml:space="preserve">ς της.   </w:t>
      </w:r>
    </w:p>
    <w:p w14:paraId="569623D1" w14:textId="3BDD0723" w:rsidR="005D6520" w:rsidRPr="00745E32" w:rsidRDefault="005814BF" w:rsidP="00E37088">
      <w:pPr>
        <w:tabs>
          <w:tab w:val="left" w:pos="567"/>
        </w:tabs>
        <w:spacing w:before="240" w:after="160" w:line="480" w:lineRule="auto"/>
        <w:jc w:val="both"/>
        <w:rPr>
          <w:rFonts w:ascii="Bookman Old Style" w:eastAsia="Times New Roman" w:hAnsi="Bookman Old Style" w:cs="Arial"/>
          <w:i/>
          <w:iCs/>
          <w:color w:val="000000"/>
          <w:sz w:val="28"/>
          <w:szCs w:val="28"/>
          <w:lang w:val="el-GR" w:bidi="he-IL"/>
        </w:rPr>
      </w:pPr>
      <w:r>
        <w:rPr>
          <w:rFonts w:ascii="Bookman Old Style" w:eastAsia="Times New Roman" w:hAnsi="Bookman Old Style"/>
          <w:color w:val="000000"/>
          <w:sz w:val="28"/>
          <w:szCs w:val="28"/>
          <w:lang w:val="el-GR"/>
        </w:rPr>
        <w:tab/>
      </w:r>
      <w:r w:rsidR="00BF3F1A">
        <w:rPr>
          <w:rFonts w:ascii="Bookman Old Style" w:eastAsia="Times New Roman" w:hAnsi="Bookman Old Style"/>
          <w:color w:val="000000"/>
          <w:sz w:val="28"/>
          <w:szCs w:val="28"/>
          <w:lang w:val="el-GR"/>
        </w:rPr>
        <w:t xml:space="preserve">Δεν χρειάζεται να λεχθούν πολλά. </w:t>
      </w:r>
      <w:r>
        <w:rPr>
          <w:rFonts w:ascii="Bookman Old Style" w:eastAsia="Times New Roman" w:hAnsi="Bookman Old Style"/>
          <w:color w:val="000000"/>
          <w:sz w:val="28"/>
          <w:szCs w:val="28"/>
          <w:lang w:val="el-GR"/>
        </w:rPr>
        <w:t xml:space="preserve">Υπό το φως όλων των πιο πάνω το παράπονο της </w:t>
      </w:r>
      <w:proofErr w:type="spellStart"/>
      <w:r>
        <w:rPr>
          <w:rFonts w:ascii="Bookman Old Style" w:eastAsia="Times New Roman" w:hAnsi="Bookman Old Style"/>
          <w:color w:val="000000"/>
          <w:sz w:val="28"/>
          <w:szCs w:val="28"/>
          <w:lang w:val="el-GR"/>
        </w:rPr>
        <w:t>Αιτήτριας</w:t>
      </w:r>
      <w:proofErr w:type="spellEnd"/>
      <w:r>
        <w:rPr>
          <w:rFonts w:ascii="Bookman Old Style" w:eastAsia="Times New Roman" w:hAnsi="Bookman Old Style"/>
          <w:color w:val="000000"/>
          <w:sz w:val="28"/>
          <w:szCs w:val="28"/>
          <w:lang w:val="el-GR"/>
        </w:rPr>
        <w:t xml:space="preserve"> ότι παραβιάστηκαν οι αρχές της φυσικής δικαιοσύνης σε σχέση με το αίτημα που υπέβαλ</w:t>
      </w:r>
      <w:r w:rsidR="00AF00F4">
        <w:rPr>
          <w:rFonts w:ascii="Bookman Old Style" w:eastAsia="Times New Roman" w:hAnsi="Bookman Old Style"/>
          <w:color w:val="000000"/>
          <w:sz w:val="28"/>
          <w:szCs w:val="28"/>
          <w:lang w:val="el-GR"/>
        </w:rPr>
        <w:t>ε</w:t>
      </w:r>
      <w:r>
        <w:rPr>
          <w:rFonts w:ascii="Bookman Old Style" w:eastAsia="Times New Roman" w:hAnsi="Bookman Old Style"/>
          <w:color w:val="000000"/>
          <w:sz w:val="28"/>
          <w:szCs w:val="28"/>
          <w:lang w:val="el-GR"/>
        </w:rPr>
        <w:t xml:space="preserve"> στο κατώτερο Δικαστήριο</w:t>
      </w:r>
      <w:r w:rsidR="00AF00F4">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είναι δικαιολογημένο. Η απόφαση ουσιαστικά </w:t>
      </w:r>
      <w:r w:rsidR="00AF00F4">
        <w:rPr>
          <w:rFonts w:ascii="Bookman Old Style" w:eastAsia="Times New Roman" w:hAnsi="Bookman Old Style"/>
          <w:color w:val="000000"/>
          <w:sz w:val="28"/>
          <w:szCs w:val="28"/>
          <w:lang w:val="el-GR"/>
        </w:rPr>
        <w:t xml:space="preserve">του Δικαστηρίου επί του αιτήματος της και την τύχη του, </w:t>
      </w:r>
      <w:r>
        <w:rPr>
          <w:rFonts w:ascii="Bookman Old Style" w:eastAsia="Times New Roman" w:hAnsi="Bookman Old Style"/>
          <w:color w:val="000000"/>
          <w:sz w:val="28"/>
          <w:szCs w:val="28"/>
          <w:lang w:val="el-GR"/>
        </w:rPr>
        <w:t xml:space="preserve">χωρίς να </w:t>
      </w:r>
      <w:r w:rsidR="00AF00F4">
        <w:rPr>
          <w:rFonts w:ascii="Bookman Old Style" w:eastAsia="Times New Roman" w:hAnsi="Bookman Old Style"/>
          <w:color w:val="000000"/>
          <w:sz w:val="28"/>
          <w:szCs w:val="28"/>
          <w:lang w:val="el-GR"/>
        </w:rPr>
        <w:t xml:space="preserve">της </w:t>
      </w:r>
      <w:r>
        <w:rPr>
          <w:rFonts w:ascii="Bookman Old Style" w:eastAsia="Times New Roman" w:hAnsi="Bookman Old Style"/>
          <w:color w:val="000000"/>
          <w:sz w:val="28"/>
          <w:szCs w:val="28"/>
          <w:lang w:val="el-GR"/>
        </w:rPr>
        <w:t xml:space="preserve">δοθεί καν η ευκαιρία να </w:t>
      </w:r>
      <w:r w:rsidR="00745E32">
        <w:rPr>
          <w:rFonts w:ascii="Bookman Old Style" w:eastAsia="Times New Roman" w:hAnsi="Bookman Old Style"/>
          <w:color w:val="000000"/>
          <w:sz w:val="28"/>
          <w:szCs w:val="28"/>
          <w:lang w:val="el-GR"/>
        </w:rPr>
        <w:t xml:space="preserve">ακουστεί και να </w:t>
      </w:r>
      <w:r>
        <w:rPr>
          <w:rFonts w:ascii="Bookman Old Style" w:eastAsia="Times New Roman" w:hAnsi="Bookman Old Style"/>
          <w:color w:val="000000"/>
          <w:sz w:val="28"/>
          <w:szCs w:val="28"/>
          <w:lang w:val="el-GR"/>
        </w:rPr>
        <w:t>προβάλ</w:t>
      </w:r>
      <w:r w:rsidR="00AF00F4">
        <w:rPr>
          <w:rFonts w:ascii="Bookman Old Style" w:eastAsia="Times New Roman" w:hAnsi="Bookman Old Style"/>
          <w:color w:val="000000"/>
          <w:sz w:val="28"/>
          <w:szCs w:val="28"/>
          <w:lang w:val="el-GR"/>
        </w:rPr>
        <w:t>ει</w:t>
      </w:r>
      <w:r>
        <w:rPr>
          <w:rFonts w:ascii="Bookman Old Style" w:eastAsia="Times New Roman" w:hAnsi="Bookman Old Style"/>
          <w:color w:val="000000"/>
          <w:sz w:val="28"/>
          <w:szCs w:val="28"/>
          <w:lang w:val="el-GR"/>
        </w:rPr>
        <w:t xml:space="preserve"> τις θέσεις </w:t>
      </w:r>
      <w:r w:rsidR="00AF00F4">
        <w:rPr>
          <w:rFonts w:ascii="Bookman Old Style" w:eastAsia="Times New Roman" w:hAnsi="Bookman Old Style"/>
          <w:color w:val="000000"/>
          <w:sz w:val="28"/>
          <w:szCs w:val="28"/>
          <w:lang w:val="el-GR"/>
        </w:rPr>
        <w:t xml:space="preserve">της </w:t>
      </w:r>
      <w:r>
        <w:rPr>
          <w:rFonts w:ascii="Bookman Old Style" w:eastAsia="Times New Roman" w:hAnsi="Bookman Old Style"/>
          <w:color w:val="000000"/>
          <w:sz w:val="28"/>
          <w:szCs w:val="28"/>
          <w:lang w:val="el-GR"/>
        </w:rPr>
        <w:t xml:space="preserve">επί των ουσιαστικών ζητημάτων </w:t>
      </w:r>
      <w:r w:rsidR="00825025">
        <w:rPr>
          <w:rFonts w:ascii="Bookman Old Style" w:eastAsia="Times New Roman" w:hAnsi="Bookman Old Style"/>
          <w:color w:val="000000"/>
          <w:sz w:val="28"/>
          <w:szCs w:val="28"/>
          <w:lang w:val="el-GR"/>
        </w:rPr>
        <w:t xml:space="preserve">για τα οποία </w:t>
      </w:r>
      <w:r>
        <w:rPr>
          <w:rFonts w:ascii="Bookman Old Style" w:eastAsia="Times New Roman" w:hAnsi="Bookman Old Style"/>
          <w:color w:val="000000"/>
          <w:sz w:val="28"/>
          <w:szCs w:val="28"/>
          <w:lang w:val="el-GR"/>
        </w:rPr>
        <w:t xml:space="preserve">το Δικαστήριο </w:t>
      </w:r>
      <w:r w:rsidR="00AF00F4">
        <w:rPr>
          <w:rFonts w:ascii="Bookman Old Style" w:eastAsia="Times New Roman" w:hAnsi="Bookman Old Style"/>
          <w:color w:val="000000"/>
          <w:sz w:val="28"/>
          <w:szCs w:val="28"/>
          <w:lang w:val="el-GR"/>
        </w:rPr>
        <w:t xml:space="preserve">τοποθετήθηκε, </w:t>
      </w:r>
      <w:r w:rsidR="00825025">
        <w:rPr>
          <w:rFonts w:ascii="Bookman Old Style" w:eastAsia="Times New Roman" w:hAnsi="Bookman Old Style"/>
          <w:color w:val="000000"/>
          <w:sz w:val="28"/>
          <w:szCs w:val="28"/>
          <w:lang w:val="el-GR"/>
        </w:rPr>
        <w:t xml:space="preserve">επιδρώντας καταλυτικά στο αίτημα της, </w:t>
      </w:r>
      <w:r>
        <w:rPr>
          <w:rFonts w:ascii="Bookman Old Style" w:eastAsia="Times New Roman" w:hAnsi="Bookman Old Style"/>
          <w:color w:val="000000"/>
          <w:sz w:val="28"/>
          <w:szCs w:val="28"/>
          <w:lang w:val="el-GR"/>
        </w:rPr>
        <w:t>έπληξε τις βασικές αρχές της φυσικής δικαιοσύνης</w:t>
      </w:r>
      <w:r w:rsidR="00745E32">
        <w:rPr>
          <w:rFonts w:ascii="Bookman Old Style" w:eastAsia="Times New Roman" w:hAnsi="Bookman Old Style"/>
          <w:color w:val="000000"/>
          <w:sz w:val="28"/>
          <w:szCs w:val="28"/>
          <w:lang w:val="el-GR"/>
        </w:rPr>
        <w:t>.</w:t>
      </w:r>
    </w:p>
    <w:p w14:paraId="5652B0C4" w14:textId="373CBEC5" w:rsidR="00745E32" w:rsidRDefault="00945866" w:rsidP="00745E32">
      <w:pPr>
        <w:tabs>
          <w:tab w:val="left" w:pos="567"/>
        </w:tabs>
        <w:spacing w:before="120" w:after="420" w:line="432" w:lineRule="atLeast"/>
        <w:ind w:left="720" w:hanging="153"/>
        <w:jc w:val="both"/>
        <w:rPr>
          <w:rFonts w:ascii="Bookman Old Style" w:hAnsi="Bookman Old Style" w:cs="Arial"/>
          <w:color w:val="000000"/>
          <w:sz w:val="28"/>
          <w:szCs w:val="28"/>
          <w:lang w:val="el-GR"/>
        </w:rPr>
      </w:pPr>
      <w:r w:rsidRPr="00945866">
        <w:rPr>
          <w:rFonts w:ascii="Bookman Old Style" w:hAnsi="Bookman Old Style" w:cs="Arial"/>
          <w:color w:val="000000"/>
          <w:sz w:val="28"/>
          <w:szCs w:val="28"/>
          <w:lang w:val="el-GR"/>
        </w:rPr>
        <w:t>Ενόψει των πιο πάνω</w:t>
      </w:r>
      <w:r w:rsidR="00745E32">
        <w:rPr>
          <w:rFonts w:ascii="Bookman Old Style" w:hAnsi="Bookman Old Style" w:cs="Arial"/>
          <w:color w:val="000000"/>
          <w:sz w:val="28"/>
          <w:szCs w:val="28"/>
          <w:lang w:val="el-GR"/>
        </w:rPr>
        <w:t>,</w:t>
      </w:r>
      <w:r w:rsidRPr="00945866">
        <w:rPr>
          <w:rFonts w:ascii="Bookman Old Style" w:hAnsi="Bookman Old Style" w:cs="Arial"/>
          <w:color w:val="000000"/>
          <w:sz w:val="28"/>
          <w:szCs w:val="28"/>
          <w:lang w:val="el-GR"/>
        </w:rPr>
        <w:t xml:space="preserve"> η αίτηση κρίνεται βάσιμη και επιτυγχάνει. </w:t>
      </w:r>
    </w:p>
    <w:p w14:paraId="512EB98C" w14:textId="7F43A6BC" w:rsidR="00945866" w:rsidRPr="00945866" w:rsidRDefault="00745E32" w:rsidP="00A93232">
      <w:pPr>
        <w:tabs>
          <w:tab w:val="left" w:pos="0"/>
          <w:tab w:val="left" w:pos="567"/>
          <w:tab w:val="left" w:pos="720"/>
        </w:tabs>
        <w:spacing w:before="120" w:line="480" w:lineRule="auto"/>
        <w:ind w:hanging="657"/>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 xml:space="preserve">       </w:t>
      </w:r>
      <w:r>
        <w:rPr>
          <w:rFonts w:ascii="Bookman Old Style" w:hAnsi="Bookman Old Style" w:cs="Arial"/>
          <w:color w:val="000000"/>
          <w:sz w:val="28"/>
          <w:szCs w:val="28"/>
          <w:lang w:val="el-GR"/>
        </w:rPr>
        <w:tab/>
        <w:t xml:space="preserve">      Ε</w:t>
      </w:r>
      <w:r w:rsidRPr="00945866">
        <w:rPr>
          <w:rFonts w:ascii="Bookman Old Style" w:hAnsi="Bookman Old Style" w:cs="Arial"/>
          <w:color w:val="000000"/>
          <w:sz w:val="28"/>
          <w:szCs w:val="28"/>
          <w:lang w:val="el-GR"/>
        </w:rPr>
        <w:t>κδίδεται</w:t>
      </w:r>
      <w:r w:rsidR="00945866" w:rsidRPr="00945866">
        <w:rPr>
          <w:rFonts w:ascii="Bookman Old Style" w:hAnsi="Bookman Old Style" w:cs="Arial"/>
          <w:color w:val="000000"/>
          <w:sz w:val="28"/>
          <w:szCs w:val="28"/>
          <w:lang w:val="el-GR"/>
        </w:rPr>
        <w:t xml:space="preserve"> προνομιακό ένταλμα </w:t>
      </w:r>
      <w:r w:rsidR="00945866" w:rsidRPr="00945866">
        <w:rPr>
          <w:rFonts w:ascii="Bookman Old Style" w:hAnsi="Bookman Old Style" w:cs="Arial"/>
          <w:color w:val="000000"/>
          <w:sz w:val="28"/>
          <w:szCs w:val="28"/>
        </w:rPr>
        <w:t>Certiorari</w:t>
      </w:r>
      <w:r w:rsidR="00945866" w:rsidRPr="00945866">
        <w:rPr>
          <w:rFonts w:ascii="Bookman Old Style" w:hAnsi="Bookman Old Style" w:cs="Arial"/>
          <w:color w:val="000000"/>
          <w:sz w:val="28"/>
          <w:szCs w:val="28"/>
          <w:lang w:val="el-GR"/>
        </w:rPr>
        <w:t xml:space="preserve"> με το οποίο η απόφαση του κατώτερου Δικαστηρίου</w:t>
      </w:r>
      <w:r>
        <w:rPr>
          <w:rFonts w:ascii="Bookman Old Style" w:hAnsi="Bookman Old Style" w:cs="Arial"/>
          <w:color w:val="000000"/>
          <w:sz w:val="28"/>
          <w:szCs w:val="28"/>
          <w:lang w:val="el-GR"/>
        </w:rPr>
        <w:t>,</w:t>
      </w:r>
      <w:r w:rsidR="00945866" w:rsidRPr="00945866">
        <w:rPr>
          <w:rFonts w:ascii="Bookman Old Style" w:hAnsi="Bookman Old Style" w:cs="Arial"/>
          <w:color w:val="000000"/>
          <w:sz w:val="28"/>
          <w:szCs w:val="28"/>
          <w:lang w:val="el-GR"/>
        </w:rPr>
        <w:t xml:space="preserve"> </w:t>
      </w:r>
      <w:r>
        <w:rPr>
          <w:rFonts w:ascii="Bookman Old Style" w:hAnsi="Bookman Old Style" w:cs="Arial"/>
          <w:color w:val="000000"/>
          <w:sz w:val="28"/>
          <w:szCs w:val="28"/>
          <w:lang w:val="el-GR"/>
        </w:rPr>
        <w:t xml:space="preserve">ως </w:t>
      </w:r>
      <w:r w:rsidR="00945866" w:rsidRPr="00945866">
        <w:rPr>
          <w:rFonts w:ascii="Bookman Old Style" w:hAnsi="Bookman Old Style" w:cs="Arial"/>
          <w:color w:val="000000"/>
          <w:sz w:val="28"/>
          <w:szCs w:val="28"/>
          <w:lang w:val="el-GR"/>
        </w:rPr>
        <w:t>εμπεριέχεται στο πρακτικό ημερομηνίας 27.</w:t>
      </w:r>
      <w:r>
        <w:rPr>
          <w:rFonts w:ascii="Bookman Old Style" w:hAnsi="Bookman Old Style" w:cs="Arial"/>
          <w:color w:val="000000"/>
          <w:sz w:val="28"/>
          <w:szCs w:val="28"/>
          <w:lang w:val="el-GR"/>
        </w:rPr>
        <w:t>0</w:t>
      </w:r>
      <w:r w:rsidR="00945866" w:rsidRPr="00945866">
        <w:rPr>
          <w:rFonts w:ascii="Bookman Old Style" w:hAnsi="Bookman Old Style" w:cs="Arial"/>
          <w:color w:val="000000"/>
          <w:sz w:val="28"/>
          <w:szCs w:val="28"/>
          <w:lang w:val="el-GR"/>
        </w:rPr>
        <w:t>9.2023</w:t>
      </w:r>
      <w:r w:rsidR="00AB6EAA">
        <w:rPr>
          <w:rFonts w:ascii="Bookman Old Style" w:hAnsi="Bookman Old Style" w:cs="Arial"/>
          <w:color w:val="000000"/>
          <w:sz w:val="28"/>
          <w:szCs w:val="28"/>
          <w:lang w:val="el-GR"/>
        </w:rPr>
        <w:t xml:space="preserve">, η οποία εκδόθηκε στην απουσία της </w:t>
      </w:r>
      <w:proofErr w:type="spellStart"/>
      <w:r w:rsidR="00AB6EAA">
        <w:rPr>
          <w:rFonts w:ascii="Bookman Old Style" w:hAnsi="Bookman Old Style" w:cs="Arial"/>
          <w:color w:val="000000"/>
          <w:sz w:val="28"/>
          <w:szCs w:val="28"/>
          <w:lang w:val="el-GR"/>
        </w:rPr>
        <w:t>αιτήτριας</w:t>
      </w:r>
      <w:proofErr w:type="spellEnd"/>
      <w:r w:rsidR="00AB6EAA">
        <w:rPr>
          <w:rFonts w:ascii="Bookman Old Style" w:hAnsi="Bookman Old Style" w:cs="Arial"/>
          <w:color w:val="000000"/>
          <w:sz w:val="28"/>
          <w:szCs w:val="28"/>
          <w:lang w:val="el-GR"/>
        </w:rPr>
        <w:t>, ακυρώνεται</w:t>
      </w:r>
      <w:r w:rsidR="00945866" w:rsidRPr="00945866">
        <w:rPr>
          <w:rFonts w:ascii="Bookman Old Style" w:hAnsi="Bookman Old Style" w:cs="Arial"/>
          <w:color w:val="000000"/>
          <w:sz w:val="28"/>
          <w:szCs w:val="28"/>
          <w:lang w:val="el-GR"/>
        </w:rPr>
        <w:t xml:space="preserve">. </w:t>
      </w:r>
    </w:p>
    <w:p w14:paraId="7A2E16F8" w14:textId="49E17486" w:rsidR="00945866" w:rsidRDefault="00D603B5" w:rsidP="00E37088">
      <w:pPr>
        <w:tabs>
          <w:tab w:val="left" w:pos="567"/>
        </w:tabs>
        <w:spacing w:before="240" w:line="480" w:lineRule="auto"/>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ab/>
      </w:r>
      <w:r w:rsidR="00AB6EAA">
        <w:rPr>
          <w:rFonts w:ascii="Bookman Old Style" w:hAnsi="Bookman Old Style" w:cs="Arial"/>
          <w:color w:val="000000"/>
          <w:sz w:val="28"/>
          <w:szCs w:val="28"/>
          <w:lang w:val="el-GR"/>
        </w:rPr>
        <w:t xml:space="preserve">Όσον αφορά τα έξοδα της </w:t>
      </w:r>
      <w:r w:rsidR="00C341B4">
        <w:rPr>
          <w:rFonts w:ascii="Bookman Old Style" w:hAnsi="Bookman Old Style" w:cs="Arial"/>
          <w:color w:val="000000"/>
          <w:sz w:val="28"/>
          <w:szCs w:val="28"/>
          <w:lang w:val="el-GR"/>
        </w:rPr>
        <w:t>διαδικασίας,</w:t>
      </w:r>
      <w:r w:rsidR="00AB6EAA">
        <w:rPr>
          <w:rFonts w:ascii="Bookman Old Style" w:hAnsi="Bookman Old Style" w:cs="Arial"/>
          <w:color w:val="000000"/>
          <w:sz w:val="28"/>
          <w:szCs w:val="28"/>
          <w:lang w:val="el-GR"/>
        </w:rPr>
        <w:t xml:space="preserve"> </w:t>
      </w:r>
      <w:r w:rsidR="00C341B4">
        <w:rPr>
          <w:rFonts w:ascii="Bookman Old Style" w:hAnsi="Bookman Old Style" w:cs="Arial"/>
          <w:color w:val="000000"/>
          <w:sz w:val="28"/>
          <w:szCs w:val="28"/>
          <w:lang w:val="el-GR"/>
        </w:rPr>
        <w:t xml:space="preserve">επιδικάζονται </w:t>
      </w:r>
      <w:r w:rsidR="00945866" w:rsidRPr="00945866">
        <w:rPr>
          <w:rFonts w:ascii="Bookman Old Style" w:hAnsi="Bookman Old Style" w:cs="Arial"/>
          <w:color w:val="000000"/>
          <w:sz w:val="28"/>
          <w:szCs w:val="28"/>
          <w:lang w:val="el-GR"/>
        </w:rPr>
        <w:t xml:space="preserve">προς όφελος της επιτυχούσας </w:t>
      </w:r>
      <w:proofErr w:type="spellStart"/>
      <w:r w:rsidR="00945866" w:rsidRPr="00945866">
        <w:rPr>
          <w:rFonts w:ascii="Bookman Old Style" w:hAnsi="Bookman Old Style" w:cs="Arial"/>
          <w:color w:val="000000"/>
          <w:sz w:val="28"/>
          <w:szCs w:val="28"/>
          <w:lang w:val="el-GR"/>
        </w:rPr>
        <w:t>Αιτήτριας</w:t>
      </w:r>
      <w:proofErr w:type="spellEnd"/>
      <w:r w:rsidR="00F930DD">
        <w:rPr>
          <w:rFonts w:ascii="Bookman Old Style" w:hAnsi="Bookman Old Style" w:cs="Arial"/>
          <w:color w:val="000000"/>
          <w:sz w:val="28"/>
          <w:szCs w:val="28"/>
          <w:lang w:val="el-GR"/>
        </w:rPr>
        <w:t xml:space="preserve"> και σε βάρος του καθ’ ου η αίτηση, </w:t>
      </w:r>
      <w:r w:rsidR="00945866" w:rsidRPr="00945866">
        <w:rPr>
          <w:rFonts w:ascii="Bookman Old Style" w:hAnsi="Bookman Old Style" w:cs="Arial"/>
          <w:color w:val="000000"/>
          <w:sz w:val="28"/>
          <w:szCs w:val="28"/>
          <w:lang w:val="el-GR"/>
        </w:rPr>
        <w:t>όπως αυτά θα υπολογιστούν από τον Πρωτοκολλητή και θα εγκριθούν από το Δικαστήριο</w:t>
      </w:r>
      <w:r>
        <w:rPr>
          <w:rFonts w:ascii="Bookman Old Style" w:hAnsi="Bookman Old Style" w:cs="Arial"/>
          <w:color w:val="000000"/>
          <w:sz w:val="28"/>
          <w:szCs w:val="28"/>
          <w:lang w:val="el-GR"/>
        </w:rPr>
        <w:t>.</w:t>
      </w:r>
    </w:p>
    <w:p w14:paraId="167825C3" w14:textId="77777777" w:rsidR="00D603B5" w:rsidRDefault="00D603B5" w:rsidP="00D603B5">
      <w:pPr>
        <w:tabs>
          <w:tab w:val="left" w:pos="567"/>
        </w:tabs>
        <w:spacing w:before="240" w:line="480" w:lineRule="auto"/>
        <w:jc w:val="both"/>
        <w:rPr>
          <w:rFonts w:ascii="Bookman Old Style" w:hAnsi="Bookman Old Style" w:cs="Arial"/>
          <w:color w:val="000000"/>
          <w:sz w:val="28"/>
          <w:szCs w:val="28"/>
          <w:lang w:val="el-GR"/>
        </w:rPr>
      </w:pPr>
    </w:p>
    <w:p w14:paraId="2893D4F9" w14:textId="6E77C4D3" w:rsidR="00D603B5" w:rsidRDefault="00F930DD" w:rsidP="00D603B5">
      <w:pPr>
        <w:tabs>
          <w:tab w:val="left" w:pos="567"/>
        </w:tabs>
        <w:spacing w:before="240" w:line="480" w:lineRule="auto"/>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 xml:space="preserve"> </w:t>
      </w:r>
    </w:p>
    <w:p w14:paraId="1925F6AA" w14:textId="0A3A0252" w:rsidR="00D603B5" w:rsidRDefault="00D603B5" w:rsidP="00D603B5">
      <w:pPr>
        <w:tabs>
          <w:tab w:val="left" w:pos="567"/>
        </w:tabs>
        <w:spacing w:before="240" w:line="480" w:lineRule="auto"/>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ab/>
      </w:r>
      <w:r>
        <w:rPr>
          <w:rFonts w:ascii="Bookman Old Style" w:hAnsi="Bookman Old Style" w:cs="Arial"/>
          <w:color w:val="000000"/>
          <w:sz w:val="28"/>
          <w:szCs w:val="28"/>
          <w:lang w:val="el-GR"/>
        </w:rPr>
        <w:tab/>
      </w:r>
      <w:r>
        <w:rPr>
          <w:rFonts w:ascii="Bookman Old Style" w:hAnsi="Bookman Old Style" w:cs="Arial"/>
          <w:color w:val="000000"/>
          <w:sz w:val="28"/>
          <w:szCs w:val="28"/>
          <w:lang w:val="el-GR"/>
        </w:rPr>
        <w:tab/>
      </w:r>
      <w:r>
        <w:rPr>
          <w:rFonts w:ascii="Bookman Old Style" w:hAnsi="Bookman Old Style" w:cs="Arial"/>
          <w:color w:val="000000"/>
          <w:sz w:val="28"/>
          <w:szCs w:val="28"/>
          <w:lang w:val="el-GR"/>
        </w:rPr>
        <w:tab/>
      </w:r>
      <w:r>
        <w:rPr>
          <w:rFonts w:ascii="Bookman Old Style" w:hAnsi="Bookman Old Style" w:cs="Arial"/>
          <w:color w:val="000000"/>
          <w:sz w:val="28"/>
          <w:szCs w:val="28"/>
          <w:lang w:val="el-GR"/>
        </w:rPr>
        <w:tab/>
      </w:r>
      <w:r>
        <w:rPr>
          <w:rFonts w:ascii="Bookman Old Style" w:hAnsi="Bookman Old Style" w:cs="Arial"/>
          <w:color w:val="000000"/>
          <w:sz w:val="28"/>
          <w:szCs w:val="28"/>
          <w:lang w:val="el-GR"/>
        </w:rPr>
        <w:tab/>
      </w:r>
      <w:r>
        <w:rPr>
          <w:rFonts w:ascii="Bookman Old Style" w:hAnsi="Bookman Old Style" w:cs="Arial"/>
          <w:color w:val="000000"/>
          <w:sz w:val="28"/>
          <w:szCs w:val="28"/>
          <w:lang w:val="el-GR"/>
        </w:rPr>
        <w:tab/>
      </w:r>
      <w:r>
        <w:rPr>
          <w:rFonts w:ascii="Bookman Old Style" w:hAnsi="Bookman Old Style" w:cs="Arial"/>
          <w:color w:val="000000"/>
          <w:sz w:val="28"/>
          <w:szCs w:val="28"/>
          <w:lang w:val="el-GR"/>
        </w:rPr>
        <w:tab/>
      </w:r>
      <w:r w:rsidR="00F930DD">
        <w:rPr>
          <w:rFonts w:ascii="Bookman Old Style" w:hAnsi="Bookman Old Style" w:cs="Arial"/>
          <w:color w:val="000000"/>
          <w:sz w:val="28"/>
          <w:szCs w:val="28"/>
          <w:lang w:val="el-GR"/>
        </w:rPr>
        <w:t xml:space="preserve">        </w:t>
      </w:r>
      <w:r>
        <w:rPr>
          <w:rFonts w:ascii="Bookman Old Style" w:hAnsi="Bookman Old Style" w:cs="Arial"/>
          <w:color w:val="000000"/>
          <w:sz w:val="28"/>
          <w:szCs w:val="28"/>
          <w:lang w:val="el-GR"/>
        </w:rPr>
        <w:t>Α. ΔΑΥΙΔ, Δ.</w:t>
      </w:r>
    </w:p>
    <w:p w14:paraId="09420185" w14:textId="77777777" w:rsidR="00825025" w:rsidRDefault="00825025" w:rsidP="00B65DA7">
      <w:pPr>
        <w:tabs>
          <w:tab w:val="left" w:pos="567"/>
        </w:tabs>
        <w:spacing w:before="240" w:line="480" w:lineRule="auto"/>
        <w:jc w:val="both"/>
        <w:rPr>
          <w:rFonts w:ascii="Bookman Old Style" w:hAnsi="Bookman Old Style" w:cs="Arial"/>
          <w:color w:val="000000"/>
          <w:sz w:val="28"/>
          <w:szCs w:val="28"/>
          <w:lang w:val="el-GR"/>
        </w:rPr>
      </w:pPr>
    </w:p>
    <w:p w14:paraId="0B00147E" w14:textId="77777777" w:rsidR="00825025" w:rsidRDefault="00825025" w:rsidP="00B65DA7">
      <w:pPr>
        <w:tabs>
          <w:tab w:val="left" w:pos="567"/>
        </w:tabs>
        <w:spacing w:before="240" w:line="480" w:lineRule="auto"/>
        <w:jc w:val="both"/>
        <w:rPr>
          <w:rFonts w:ascii="Bookman Old Style" w:hAnsi="Bookman Old Style" w:cs="Arial"/>
          <w:color w:val="000000"/>
          <w:sz w:val="28"/>
          <w:szCs w:val="28"/>
          <w:lang w:val="el-GR"/>
        </w:rPr>
      </w:pPr>
    </w:p>
    <w:p w14:paraId="7BA5838C" w14:textId="77777777" w:rsidR="00F930DD" w:rsidRDefault="00F930DD" w:rsidP="00B65DA7">
      <w:pPr>
        <w:tabs>
          <w:tab w:val="left" w:pos="567"/>
        </w:tabs>
        <w:spacing w:before="240" w:line="480" w:lineRule="auto"/>
        <w:jc w:val="both"/>
        <w:rPr>
          <w:rFonts w:ascii="Bookman Old Style" w:hAnsi="Bookman Old Style" w:cs="Arial"/>
          <w:color w:val="000000"/>
          <w:sz w:val="28"/>
          <w:szCs w:val="28"/>
          <w:lang w:val="el-GR"/>
        </w:rPr>
      </w:pPr>
    </w:p>
    <w:p w14:paraId="0998B500" w14:textId="77777777" w:rsidR="00F930DD" w:rsidRDefault="00F930DD" w:rsidP="00B65DA7">
      <w:pPr>
        <w:tabs>
          <w:tab w:val="left" w:pos="567"/>
        </w:tabs>
        <w:spacing w:before="240" w:line="480" w:lineRule="auto"/>
        <w:jc w:val="both"/>
        <w:rPr>
          <w:rFonts w:ascii="Bookman Old Style" w:hAnsi="Bookman Old Style" w:cs="Arial"/>
          <w:color w:val="000000"/>
          <w:sz w:val="28"/>
          <w:szCs w:val="28"/>
          <w:lang w:val="el-GR"/>
        </w:rPr>
      </w:pPr>
    </w:p>
    <w:p w14:paraId="2211C6CA" w14:textId="77777777" w:rsidR="00F930DD" w:rsidRDefault="00F930DD" w:rsidP="00B65DA7">
      <w:pPr>
        <w:tabs>
          <w:tab w:val="left" w:pos="567"/>
        </w:tabs>
        <w:spacing w:before="240" w:line="480" w:lineRule="auto"/>
        <w:jc w:val="both"/>
        <w:rPr>
          <w:rFonts w:ascii="Bookman Old Style" w:hAnsi="Bookman Old Style" w:cs="Arial"/>
          <w:color w:val="000000"/>
          <w:sz w:val="28"/>
          <w:szCs w:val="28"/>
          <w:lang w:val="el-GR"/>
        </w:rPr>
      </w:pPr>
    </w:p>
    <w:p w14:paraId="756B8431" w14:textId="77777777" w:rsidR="00F930DD" w:rsidRDefault="00F930DD" w:rsidP="00B65DA7">
      <w:pPr>
        <w:tabs>
          <w:tab w:val="left" w:pos="567"/>
        </w:tabs>
        <w:spacing w:before="240" w:line="480" w:lineRule="auto"/>
        <w:jc w:val="both"/>
        <w:rPr>
          <w:rFonts w:ascii="Bookman Old Style" w:hAnsi="Bookman Old Style" w:cs="Arial"/>
          <w:color w:val="000000"/>
          <w:sz w:val="28"/>
          <w:szCs w:val="28"/>
          <w:lang w:val="el-GR"/>
        </w:rPr>
      </w:pPr>
    </w:p>
    <w:p w14:paraId="5D4AB6FC" w14:textId="4440F4E7" w:rsidR="005F181E" w:rsidRPr="005D6520" w:rsidRDefault="00D603B5" w:rsidP="00B65DA7">
      <w:pPr>
        <w:tabs>
          <w:tab w:val="left" w:pos="567"/>
        </w:tabs>
        <w:spacing w:before="240" w:line="480" w:lineRule="auto"/>
        <w:jc w:val="both"/>
        <w:rPr>
          <w:lang w:val="el-GR"/>
        </w:rPr>
      </w:pPr>
      <w:r>
        <w:rPr>
          <w:rFonts w:ascii="Bookman Old Style" w:hAnsi="Bookman Old Style" w:cs="Arial"/>
          <w:color w:val="000000"/>
          <w:sz w:val="28"/>
          <w:szCs w:val="28"/>
          <w:lang w:val="el-GR"/>
        </w:rPr>
        <w:t>/</w:t>
      </w:r>
      <w:proofErr w:type="spellStart"/>
      <w:r>
        <w:rPr>
          <w:rFonts w:ascii="Bookman Old Style" w:hAnsi="Bookman Old Style" w:cs="Arial"/>
          <w:color w:val="000000"/>
          <w:sz w:val="28"/>
          <w:szCs w:val="28"/>
          <w:lang w:val="el-GR"/>
        </w:rPr>
        <w:t>κβπ</w:t>
      </w:r>
      <w:proofErr w:type="spellEnd"/>
    </w:p>
    <w:sectPr w:rsidR="005F181E" w:rsidRPr="005D6520" w:rsidSect="00784DD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93353" w14:textId="77777777" w:rsidR="00202245" w:rsidRDefault="00202245" w:rsidP="00D603B5">
      <w:r>
        <w:separator/>
      </w:r>
    </w:p>
  </w:endnote>
  <w:endnote w:type="continuationSeparator" w:id="0">
    <w:p w14:paraId="0DAFEF31" w14:textId="77777777" w:rsidR="00202245" w:rsidRDefault="00202245" w:rsidP="00D6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6E9A0" w14:textId="77777777" w:rsidR="00202245" w:rsidRDefault="00202245" w:rsidP="00D603B5">
      <w:r>
        <w:separator/>
      </w:r>
    </w:p>
  </w:footnote>
  <w:footnote w:type="continuationSeparator" w:id="0">
    <w:p w14:paraId="1097ECF2" w14:textId="77777777" w:rsidR="00202245" w:rsidRDefault="00202245" w:rsidP="00D6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8751151"/>
      <w:docPartObj>
        <w:docPartGallery w:val="Page Numbers (Top of Page)"/>
        <w:docPartUnique/>
      </w:docPartObj>
    </w:sdtPr>
    <w:sdtEndPr>
      <w:rPr>
        <w:noProof/>
      </w:rPr>
    </w:sdtEndPr>
    <w:sdtContent>
      <w:p w14:paraId="3C2F4DA6" w14:textId="6F5D8EB4" w:rsidR="00D603B5" w:rsidRDefault="00D603B5">
        <w:pPr>
          <w:pStyle w:val="Header"/>
          <w:jc w:val="center"/>
        </w:pPr>
        <w:r>
          <w:fldChar w:fldCharType="begin"/>
        </w:r>
        <w:r>
          <w:instrText xml:space="preserve"> PAGE   \* MERGEFORMAT </w:instrText>
        </w:r>
        <w:r>
          <w:fldChar w:fldCharType="separate"/>
        </w:r>
        <w:r w:rsidR="000C0673">
          <w:rPr>
            <w:noProof/>
          </w:rPr>
          <w:t>11</w:t>
        </w:r>
        <w:r>
          <w:rPr>
            <w:noProof/>
          </w:rPr>
          <w:fldChar w:fldCharType="end"/>
        </w:r>
      </w:p>
    </w:sdtContent>
  </w:sdt>
  <w:p w14:paraId="6C710191" w14:textId="77777777" w:rsidR="00D603B5" w:rsidRDefault="00D60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2E"/>
    <w:rsid w:val="0008722E"/>
    <w:rsid w:val="000C0673"/>
    <w:rsid w:val="000C6629"/>
    <w:rsid w:val="000D7930"/>
    <w:rsid w:val="00150B0A"/>
    <w:rsid w:val="001B53CA"/>
    <w:rsid w:val="00202245"/>
    <w:rsid w:val="002D5A80"/>
    <w:rsid w:val="002D606F"/>
    <w:rsid w:val="003151A3"/>
    <w:rsid w:val="003431FF"/>
    <w:rsid w:val="00347455"/>
    <w:rsid w:val="00367024"/>
    <w:rsid w:val="00402904"/>
    <w:rsid w:val="00433C34"/>
    <w:rsid w:val="00490592"/>
    <w:rsid w:val="004C63D6"/>
    <w:rsid w:val="004D19EE"/>
    <w:rsid w:val="004F72B4"/>
    <w:rsid w:val="00552DC4"/>
    <w:rsid w:val="005814BF"/>
    <w:rsid w:val="005942E0"/>
    <w:rsid w:val="005A44F3"/>
    <w:rsid w:val="005D40B9"/>
    <w:rsid w:val="005D6520"/>
    <w:rsid w:val="005E59AD"/>
    <w:rsid w:val="005F181E"/>
    <w:rsid w:val="00620417"/>
    <w:rsid w:val="00674436"/>
    <w:rsid w:val="006A4A41"/>
    <w:rsid w:val="006A525D"/>
    <w:rsid w:val="006A6324"/>
    <w:rsid w:val="006A65F5"/>
    <w:rsid w:val="006F22FE"/>
    <w:rsid w:val="00721E1E"/>
    <w:rsid w:val="00736D67"/>
    <w:rsid w:val="00745E32"/>
    <w:rsid w:val="00784DD3"/>
    <w:rsid w:val="007A18F2"/>
    <w:rsid w:val="00825025"/>
    <w:rsid w:val="00826D4F"/>
    <w:rsid w:val="008B5A22"/>
    <w:rsid w:val="008F294D"/>
    <w:rsid w:val="0090426F"/>
    <w:rsid w:val="009259C6"/>
    <w:rsid w:val="00941EF9"/>
    <w:rsid w:val="00945866"/>
    <w:rsid w:val="009A6C00"/>
    <w:rsid w:val="009E203B"/>
    <w:rsid w:val="009E3B62"/>
    <w:rsid w:val="00A128F3"/>
    <w:rsid w:val="00A454C3"/>
    <w:rsid w:val="00A616EB"/>
    <w:rsid w:val="00A649AD"/>
    <w:rsid w:val="00A93232"/>
    <w:rsid w:val="00AB6EAA"/>
    <w:rsid w:val="00AF00F4"/>
    <w:rsid w:val="00B54070"/>
    <w:rsid w:val="00B65DA7"/>
    <w:rsid w:val="00B728EF"/>
    <w:rsid w:val="00B80DAC"/>
    <w:rsid w:val="00BE1579"/>
    <w:rsid w:val="00BF3F1A"/>
    <w:rsid w:val="00C166B9"/>
    <w:rsid w:val="00C23EF0"/>
    <w:rsid w:val="00C341B4"/>
    <w:rsid w:val="00C57AC0"/>
    <w:rsid w:val="00C61B19"/>
    <w:rsid w:val="00C80201"/>
    <w:rsid w:val="00C843B5"/>
    <w:rsid w:val="00CD2A97"/>
    <w:rsid w:val="00CE1E74"/>
    <w:rsid w:val="00D603B5"/>
    <w:rsid w:val="00DC3EB5"/>
    <w:rsid w:val="00E37088"/>
    <w:rsid w:val="00E74670"/>
    <w:rsid w:val="00E96C4B"/>
    <w:rsid w:val="00EB3B6D"/>
    <w:rsid w:val="00EC6120"/>
    <w:rsid w:val="00EF1E4A"/>
    <w:rsid w:val="00EF4944"/>
    <w:rsid w:val="00EF5AAE"/>
    <w:rsid w:val="00F348E6"/>
    <w:rsid w:val="00F562A0"/>
    <w:rsid w:val="00F92227"/>
    <w:rsid w:val="00F930DD"/>
    <w:rsid w:val="00FC4D2F"/>
    <w:rsid w:val="00FC51FC"/>
    <w:rsid w:val="00FE008C"/>
    <w:rsid w:val="00FE18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C49B"/>
  <w15:chartTrackingRefBased/>
  <w15:docId w15:val="{2654BDAE-68F4-462D-81A3-84E98CD7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2E"/>
    <w:pPr>
      <w:jc w:val="left"/>
    </w:pPr>
    <w:rPr>
      <w:rFonts w:ascii="Times New Roman" w:eastAsia="PMingLiU" w:hAnsi="Times New Roman" w:cs="Times New Roman"/>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levelparagraph">
    <w:name w:val="secondlevelparagraph"/>
    <w:basedOn w:val="Normal"/>
    <w:rsid w:val="005D6520"/>
    <w:pPr>
      <w:spacing w:before="100" w:beforeAutospacing="1" w:after="100" w:afterAutospacing="1"/>
    </w:pPr>
    <w:rPr>
      <w:rFonts w:eastAsia="Times New Roman"/>
      <w:sz w:val="24"/>
      <w:szCs w:val="24"/>
      <w:lang w:bidi="he-IL"/>
    </w:rPr>
  </w:style>
  <w:style w:type="character" w:styleId="Hyperlink">
    <w:name w:val="Hyperlink"/>
    <w:basedOn w:val="DefaultParagraphFont"/>
    <w:uiPriority w:val="99"/>
    <w:semiHidden/>
    <w:unhideWhenUsed/>
    <w:rsid w:val="005D6520"/>
    <w:rPr>
      <w:color w:val="0000FF"/>
      <w:u w:val="single"/>
    </w:rPr>
  </w:style>
  <w:style w:type="paragraph" w:styleId="Header">
    <w:name w:val="header"/>
    <w:basedOn w:val="Normal"/>
    <w:link w:val="HeaderChar"/>
    <w:uiPriority w:val="99"/>
    <w:unhideWhenUsed/>
    <w:rsid w:val="00D603B5"/>
    <w:pPr>
      <w:tabs>
        <w:tab w:val="center" w:pos="4513"/>
        <w:tab w:val="right" w:pos="9026"/>
      </w:tabs>
    </w:pPr>
  </w:style>
  <w:style w:type="character" w:customStyle="1" w:styleId="HeaderChar">
    <w:name w:val="Header Char"/>
    <w:basedOn w:val="DefaultParagraphFont"/>
    <w:link w:val="Header"/>
    <w:uiPriority w:val="99"/>
    <w:rsid w:val="00D603B5"/>
    <w:rPr>
      <w:rFonts w:ascii="Times New Roman" w:eastAsia="PMingLiU" w:hAnsi="Times New Roman" w:cs="Times New Roman"/>
      <w:kern w:val="0"/>
      <w:lang w:val="en-US" w:bidi="ar-SA"/>
      <w14:ligatures w14:val="none"/>
    </w:rPr>
  </w:style>
  <w:style w:type="paragraph" w:styleId="Footer">
    <w:name w:val="footer"/>
    <w:basedOn w:val="Normal"/>
    <w:link w:val="FooterChar"/>
    <w:uiPriority w:val="99"/>
    <w:unhideWhenUsed/>
    <w:rsid w:val="00D603B5"/>
    <w:pPr>
      <w:tabs>
        <w:tab w:val="center" w:pos="4513"/>
        <w:tab w:val="right" w:pos="9026"/>
      </w:tabs>
    </w:pPr>
  </w:style>
  <w:style w:type="character" w:customStyle="1" w:styleId="FooterChar">
    <w:name w:val="Footer Char"/>
    <w:basedOn w:val="DefaultParagraphFont"/>
    <w:link w:val="Footer"/>
    <w:uiPriority w:val="99"/>
    <w:rsid w:val="00D603B5"/>
    <w:rPr>
      <w:rFonts w:ascii="Times New Roman" w:eastAsia="PMingLiU" w:hAnsi="Times New Roman" w:cs="Times New Roman"/>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806854">
      <w:bodyDiv w:val="1"/>
      <w:marLeft w:val="0"/>
      <w:marRight w:val="0"/>
      <w:marTop w:val="0"/>
      <w:marBottom w:val="0"/>
      <w:divBdr>
        <w:top w:val="none" w:sz="0" w:space="0" w:color="auto"/>
        <w:left w:val="none" w:sz="0" w:space="0" w:color="auto"/>
        <w:bottom w:val="none" w:sz="0" w:space="0" w:color="auto"/>
        <w:right w:val="none" w:sz="0" w:space="0" w:color="auto"/>
      </w:divBdr>
    </w:div>
    <w:div w:id="12346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law.org/cgi-bin/open.pl?file=/apofaseis/aad/meros_1/1992/rep/1992_1_1222.htm" TargetMode="External"/><Relationship Id="rId3" Type="http://schemas.openxmlformats.org/officeDocument/2006/relationships/webSettings" Target="webSettings.xml"/><Relationship Id="rId7" Type="http://schemas.openxmlformats.org/officeDocument/2006/relationships/hyperlink" Target="https://www.cylaw.org/cgi-bin/open.pl?file=/apofaseis/aad/meros_1/1994/rep/1994_1_029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ylaw.org/cgi-bin/open.pl?file=/apofaseis/aad/meros_1/1993/rep/1993_1_0613.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Marilia Hadjiprodromou</cp:lastModifiedBy>
  <cp:revision>11</cp:revision>
  <cp:lastPrinted>2024-04-08T06:51:00Z</cp:lastPrinted>
  <dcterms:created xsi:type="dcterms:W3CDTF">2024-04-10T09:32:00Z</dcterms:created>
  <dcterms:modified xsi:type="dcterms:W3CDTF">2024-04-10T09:49:00Z</dcterms:modified>
</cp:coreProperties>
</file>